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8E143">
      <w:pPr>
        <w:jc w:val="center"/>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会昌县德欣教育科技有限公司关于电缆采购项目的</w:t>
      </w:r>
      <w:bookmarkStart w:id="98" w:name="_GoBack"/>
      <w:bookmarkEnd w:id="98"/>
    </w:p>
    <w:p w14:paraId="43BA1DF1">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竞价公告</w:t>
      </w:r>
    </w:p>
    <w:p w14:paraId="6C9B954E">
      <w:pPr>
        <w:pStyle w:val="5"/>
        <w:keepNext w:val="0"/>
        <w:keepLines w:val="0"/>
        <w:pageBreakBefore w:val="0"/>
        <w:widowControl w:val="0"/>
        <w:kinsoku/>
        <w:wordWrap/>
        <w:overflowPunct/>
        <w:topLinePunct w:val="0"/>
        <w:autoSpaceDE/>
        <w:autoSpaceDN/>
        <w:bidi w:val="0"/>
        <w:adjustRightInd/>
        <w:snapToGrid/>
        <w:spacing w:line="500" w:lineRule="exact"/>
        <w:ind w:firstLine="500"/>
        <w:textAlignment w:val="auto"/>
        <w:rPr>
          <w:rFonts w:hint="default" w:ascii="宋体" w:hAnsi="宋体" w:eastAsia="宋体" w:cs="仿宋"/>
          <w:b/>
          <w:bCs/>
          <w:color w:val="auto"/>
          <w:sz w:val="25"/>
          <w:szCs w:val="25"/>
          <w:highlight w:val="none"/>
          <w:u w:val="none"/>
          <w:lang w:val="en-US" w:eastAsia="zh-CN"/>
        </w:rPr>
      </w:pPr>
      <w:bookmarkStart w:id="0" w:name="_Toc20855"/>
      <w:bookmarkStart w:id="1" w:name="_Toc11135"/>
      <w:bookmarkStart w:id="2" w:name="_Toc2845"/>
      <w:bookmarkStart w:id="3" w:name="_Toc2920"/>
      <w:bookmarkStart w:id="4" w:name="_Toc20174"/>
      <w:bookmarkStart w:id="5" w:name="_Toc19799"/>
      <w:bookmarkStart w:id="6" w:name="_Toc31861"/>
      <w:bookmarkStart w:id="7" w:name="_Toc8105"/>
      <w:r>
        <w:rPr>
          <w:rFonts w:hint="eastAsia" w:ascii="宋体" w:hAnsi="宋体" w:eastAsia="宋体" w:cs="仿宋"/>
          <w:b/>
          <w:bCs/>
          <w:color w:val="auto"/>
          <w:sz w:val="25"/>
          <w:szCs w:val="25"/>
          <w:highlight w:val="none"/>
          <w:u w:val="none"/>
          <w:lang w:val="en-US" w:eastAsia="zh-CN"/>
        </w:rPr>
        <w:t>项目概况</w:t>
      </w:r>
    </w:p>
    <w:p w14:paraId="7D9FD959">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outlineLvl w:val="1"/>
        <w:rPr>
          <w:rFonts w:hint="eastAsia" w:ascii="宋体" w:hAnsi="宋体" w:eastAsia="宋体" w:cs="仿宋"/>
          <w:bCs/>
          <w:color w:val="auto"/>
          <w:sz w:val="25"/>
          <w:szCs w:val="25"/>
          <w:highlight w:val="none"/>
          <w:lang w:eastAsia="zh-CN"/>
        </w:rPr>
      </w:pPr>
      <w:r>
        <w:rPr>
          <w:rFonts w:hint="eastAsia" w:ascii="宋体" w:hAnsi="宋体" w:eastAsia="宋体" w:cs="仿宋"/>
          <w:color w:val="auto"/>
          <w:sz w:val="25"/>
          <w:szCs w:val="25"/>
          <w:highlight w:val="none"/>
          <w:u w:val="single"/>
          <w:lang w:eastAsia="zh-CN"/>
        </w:rPr>
        <w:t>电缆采购</w:t>
      </w:r>
      <w:r>
        <w:rPr>
          <w:rFonts w:hint="eastAsia" w:ascii="宋体" w:hAnsi="宋体" w:cs="仿宋"/>
          <w:color w:val="auto"/>
          <w:sz w:val="25"/>
          <w:szCs w:val="25"/>
          <w:highlight w:val="none"/>
        </w:rPr>
        <w:t>项目的潜在供应商应在</w:t>
      </w:r>
      <w:r>
        <w:rPr>
          <w:rFonts w:hint="eastAsia" w:ascii="宋体" w:hAnsi="宋体" w:eastAsia="宋体" w:cs="宋体"/>
          <w:color w:val="auto"/>
          <w:sz w:val="25"/>
          <w:szCs w:val="25"/>
          <w:highlight w:val="none"/>
          <w:u w:val="single"/>
          <w:lang w:val="en-US" w:eastAsia="zh-CN"/>
        </w:rPr>
        <w:t>会昌县德欣教育科技有限公司</w:t>
      </w:r>
      <w:r>
        <w:rPr>
          <w:rFonts w:hint="eastAsia" w:ascii="宋体" w:hAnsi="宋体" w:cs="仿宋"/>
          <w:color w:val="auto"/>
          <w:sz w:val="25"/>
          <w:szCs w:val="25"/>
          <w:highlight w:val="none"/>
        </w:rPr>
        <w:t>获取</w:t>
      </w:r>
      <w:r>
        <w:rPr>
          <w:rFonts w:hint="eastAsia" w:ascii="宋体" w:hAnsi="宋体" w:eastAsia="宋体" w:cs="仿宋"/>
          <w:color w:val="auto"/>
          <w:sz w:val="25"/>
          <w:szCs w:val="25"/>
          <w:highlight w:val="none"/>
          <w:lang w:val="en-US" w:eastAsia="zh-CN"/>
        </w:rPr>
        <w:t>采购</w:t>
      </w:r>
      <w:r>
        <w:rPr>
          <w:rFonts w:hint="eastAsia" w:ascii="宋体" w:hAnsi="宋体" w:cs="仿宋"/>
          <w:color w:val="auto"/>
          <w:sz w:val="25"/>
          <w:szCs w:val="25"/>
          <w:highlight w:val="none"/>
        </w:rPr>
        <w:t>文件，并于</w:t>
      </w:r>
      <w:r>
        <w:rPr>
          <w:rFonts w:hint="eastAsia" w:ascii="宋体" w:hAnsi="宋体" w:eastAsia="宋体" w:cs="仿宋"/>
          <w:color w:val="auto"/>
          <w:sz w:val="25"/>
          <w:szCs w:val="25"/>
          <w:highlight w:val="none"/>
          <w:u w:val="single"/>
          <w:lang w:val="en-US" w:eastAsia="zh-CN"/>
        </w:rPr>
        <w:t>2025</w:t>
      </w:r>
      <w:r>
        <w:rPr>
          <w:rFonts w:hint="eastAsia" w:ascii="宋体" w:hAnsi="宋体" w:cs="仿宋"/>
          <w:bCs/>
          <w:color w:val="auto"/>
          <w:sz w:val="25"/>
          <w:szCs w:val="25"/>
          <w:highlight w:val="none"/>
        </w:rPr>
        <w:t>年</w:t>
      </w:r>
      <w:r>
        <w:rPr>
          <w:rFonts w:hint="eastAsia" w:ascii="宋体" w:hAnsi="宋体" w:eastAsia="宋体" w:cs="仿宋"/>
          <w:bCs/>
          <w:color w:val="auto"/>
          <w:sz w:val="25"/>
          <w:szCs w:val="25"/>
          <w:highlight w:val="none"/>
          <w:u w:val="single"/>
          <w:lang w:val="en-US" w:eastAsia="zh-CN"/>
        </w:rPr>
        <w:t>7</w:t>
      </w:r>
      <w:r>
        <w:rPr>
          <w:rFonts w:hint="eastAsia" w:ascii="宋体" w:hAnsi="宋体" w:cs="仿宋"/>
          <w:bCs/>
          <w:color w:val="auto"/>
          <w:sz w:val="25"/>
          <w:szCs w:val="25"/>
          <w:highlight w:val="none"/>
        </w:rPr>
        <w:t>月</w:t>
      </w:r>
      <w:r>
        <w:rPr>
          <w:rFonts w:hint="eastAsia" w:ascii="宋体" w:hAnsi="宋体" w:eastAsia="宋体" w:cs="仿宋"/>
          <w:bCs/>
          <w:color w:val="auto"/>
          <w:sz w:val="25"/>
          <w:szCs w:val="25"/>
          <w:highlight w:val="none"/>
          <w:u w:val="single"/>
          <w:lang w:val="en-US" w:eastAsia="zh-CN"/>
        </w:rPr>
        <w:t>28</w:t>
      </w:r>
      <w:r>
        <w:rPr>
          <w:rFonts w:hint="eastAsia" w:ascii="宋体" w:hAnsi="宋体" w:cs="仿宋"/>
          <w:bCs/>
          <w:color w:val="auto"/>
          <w:sz w:val="25"/>
          <w:szCs w:val="25"/>
          <w:highlight w:val="none"/>
        </w:rPr>
        <w:t>日</w:t>
      </w:r>
      <w:r>
        <w:rPr>
          <w:rFonts w:hint="eastAsia" w:ascii="宋体" w:hAnsi="宋体" w:cs="仿宋"/>
          <w:bCs/>
          <w:color w:val="auto"/>
          <w:sz w:val="25"/>
          <w:szCs w:val="25"/>
          <w:highlight w:val="none"/>
          <w:u w:val="single"/>
          <w:lang w:val="en-US" w:eastAsia="zh-CN"/>
        </w:rPr>
        <w:t>09</w:t>
      </w:r>
      <w:r>
        <w:rPr>
          <w:rFonts w:hint="eastAsia" w:ascii="宋体" w:hAnsi="宋体" w:cs="仿宋"/>
          <w:bCs/>
          <w:color w:val="auto"/>
          <w:sz w:val="25"/>
          <w:szCs w:val="25"/>
          <w:highlight w:val="none"/>
        </w:rPr>
        <w:t>点</w:t>
      </w:r>
      <w:r>
        <w:rPr>
          <w:rFonts w:hint="eastAsia" w:ascii="宋体" w:hAnsi="宋体" w:cs="仿宋"/>
          <w:bCs/>
          <w:color w:val="auto"/>
          <w:sz w:val="25"/>
          <w:szCs w:val="25"/>
          <w:highlight w:val="none"/>
          <w:u w:val="single"/>
          <w:lang w:val="en-US" w:eastAsia="zh-CN"/>
        </w:rPr>
        <w:t>30</w:t>
      </w:r>
      <w:r>
        <w:rPr>
          <w:rFonts w:hint="eastAsia" w:ascii="宋体" w:hAnsi="宋体" w:cs="仿宋"/>
          <w:bCs/>
          <w:color w:val="auto"/>
          <w:sz w:val="25"/>
          <w:szCs w:val="25"/>
          <w:highlight w:val="none"/>
        </w:rPr>
        <w:t>分（北京时间）响应截止时间前</w:t>
      </w:r>
      <w:r>
        <w:rPr>
          <w:rFonts w:hint="eastAsia" w:ascii="宋体" w:hAnsi="宋体" w:cs="宋体"/>
          <w:bCs/>
          <w:color w:val="auto"/>
          <w:sz w:val="25"/>
          <w:szCs w:val="25"/>
          <w:highlight w:val="none"/>
        </w:rPr>
        <w:t>提交</w:t>
      </w:r>
      <w:r>
        <w:rPr>
          <w:rFonts w:hint="eastAsia" w:ascii="宋体" w:hAnsi="宋体" w:cs="仿宋"/>
          <w:bCs/>
          <w:color w:val="auto"/>
          <w:sz w:val="25"/>
          <w:szCs w:val="25"/>
          <w:highlight w:val="none"/>
        </w:rPr>
        <w:t>响应文件</w:t>
      </w:r>
      <w:r>
        <w:rPr>
          <w:rFonts w:hint="eastAsia" w:ascii="宋体" w:hAnsi="宋体" w:eastAsia="宋体" w:cs="仿宋"/>
          <w:bCs/>
          <w:color w:val="auto"/>
          <w:sz w:val="25"/>
          <w:szCs w:val="25"/>
          <w:highlight w:val="none"/>
          <w:lang w:eastAsia="zh-CN"/>
        </w:rPr>
        <w:t>。</w:t>
      </w:r>
    </w:p>
    <w:p w14:paraId="7445F7E3">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2" w:firstLineChars="200"/>
        <w:textAlignment w:val="auto"/>
        <w:outlineLvl w:val="1"/>
        <w:rPr>
          <w:rFonts w:hint="eastAsia" w:ascii="宋体" w:hAnsi="宋体" w:eastAsia="宋体" w:cs="宋体"/>
          <w:b/>
          <w:bCs/>
          <w:color w:val="auto"/>
          <w:spacing w:val="0"/>
          <w:sz w:val="25"/>
          <w:szCs w:val="25"/>
          <w:highlight w:val="none"/>
          <w:lang w:val="en-US" w:eastAsia="zh-CN"/>
        </w:rPr>
      </w:pPr>
      <w:r>
        <w:rPr>
          <w:rFonts w:hint="eastAsia" w:ascii="宋体" w:hAnsi="宋体" w:eastAsia="宋体" w:cs="宋体"/>
          <w:b/>
          <w:bCs/>
          <w:color w:val="auto"/>
          <w:spacing w:val="0"/>
          <w:sz w:val="25"/>
          <w:szCs w:val="25"/>
          <w:highlight w:val="none"/>
          <w:lang w:val="en-US" w:eastAsia="zh-CN"/>
        </w:rPr>
        <w:t>（一）项目基本情况</w:t>
      </w:r>
      <w:bookmarkEnd w:id="0"/>
      <w:bookmarkEnd w:id="1"/>
      <w:bookmarkEnd w:id="2"/>
      <w:bookmarkEnd w:id="3"/>
      <w:bookmarkEnd w:id="4"/>
      <w:bookmarkEnd w:id="5"/>
      <w:bookmarkEnd w:id="6"/>
      <w:bookmarkEnd w:id="7"/>
    </w:p>
    <w:p w14:paraId="4C3920A5">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项目名称：电缆采购</w:t>
      </w:r>
    </w:p>
    <w:p w14:paraId="55B78448">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default" w:ascii="宋体" w:hAnsi="宋体" w:eastAsia="宋体" w:cs="宋体"/>
          <w:color w:val="auto"/>
          <w:spacing w:val="0"/>
          <w:sz w:val="25"/>
          <w:szCs w:val="25"/>
          <w:highlight w:val="none"/>
          <w:lang w:val="en-US" w:eastAsia="zh-CN"/>
        </w:rPr>
      </w:pPr>
      <w:r>
        <w:rPr>
          <w:rFonts w:hint="eastAsia" w:ascii="宋体" w:hAnsi="宋体" w:eastAsia="宋体" w:cs="宋体"/>
          <w:color w:val="auto"/>
          <w:spacing w:val="0"/>
          <w:sz w:val="25"/>
          <w:szCs w:val="25"/>
          <w:highlight w:val="none"/>
          <w:lang w:val="en-US" w:eastAsia="zh-CN"/>
        </w:rPr>
        <w:t>采购方式：竞价</w:t>
      </w:r>
    </w:p>
    <w:p w14:paraId="704174BD">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2" w:firstLineChars="200"/>
        <w:textAlignment w:val="auto"/>
        <w:rPr>
          <w:rFonts w:hint="default" w:ascii="宋体" w:hAnsi="宋体" w:eastAsia="宋体" w:cs="宋体"/>
          <w:b/>
          <w:bCs/>
          <w:color w:val="auto"/>
          <w:spacing w:val="0"/>
          <w:sz w:val="25"/>
          <w:szCs w:val="25"/>
          <w:highlight w:val="none"/>
          <w:lang w:val="en-US" w:eastAsia="zh-CN"/>
        </w:rPr>
      </w:pPr>
      <w:r>
        <w:rPr>
          <w:rFonts w:hint="eastAsia" w:ascii="宋体" w:hAnsi="宋体" w:eastAsia="宋体" w:cs="宋体"/>
          <w:b/>
          <w:bCs/>
          <w:color w:val="auto"/>
          <w:spacing w:val="0"/>
          <w:sz w:val="25"/>
          <w:szCs w:val="25"/>
          <w:highlight w:val="none"/>
          <w:lang w:val="en-US" w:eastAsia="zh-CN"/>
        </w:rPr>
        <w:t>预算金额：伍拾叁万柒仟玖佰肆拾伍万叁角壹分（537945.31元）</w:t>
      </w:r>
    </w:p>
    <w:p w14:paraId="1E22FCFC">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2" w:firstLineChars="200"/>
        <w:textAlignment w:val="auto"/>
        <w:rPr>
          <w:rFonts w:hint="default" w:ascii="宋体" w:hAnsi="宋体" w:eastAsia="宋体" w:cs="宋体"/>
          <w:b/>
          <w:bCs/>
          <w:color w:val="auto"/>
          <w:spacing w:val="0"/>
          <w:sz w:val="25"/>
          <w:szCs w:val="25"/>
          <w:highlight w:val="none"/>
          <w:lang w:val="en-US" w:eastAsia="zh-CN"/>
        </w:rPr>
      </w:pPr>
      <w:r>
        <w:rPr>
          <w:rFonts w:hint="eastAsia" w:ascii="宋体" w:hAnsi="宋体" w:eastAsia="宋体" w:cs="宋体"/>
          <w:b/>
          <w:bCs/>
          <w:color w:val="auto"/>
          <w:spacing w:val="0"/>
          <w:sz w:val="25"/>
          <w:szCs w:val="25"/>
          <w:highlight w:val="none"/>
          <w:lang w:val="en-US" w:eastAsia="zh-CN"/>
        </w:rPr>
        <w:t>最高限价：伍拾万伍仟陆佰陆拾捌元伍角捌分（505668.58元）</w:t>
      </w:r>
    </w:p>
    <w:p w14:paraId="3EBE2C09">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2" w:firstLineChars="200"/>
        <w:textAlignment w:val="auto"/>
        <w:outlineLvl w:val="1"/>
        <w:rPr>
          <w:rFonts w:hint="default" w:ascii="宋体" w:hAnsi="宋体" w:eastAsia="宋体" w:cs="宋体"/>
          <w:b/>
          <w:bCs/>
          <w:color w:val="auto"/>
          <w:spacing w:val="0"/>
          <w:sz w:val="25"/>
          <w:szCs w:val="25"/>
          <w:highlight w:val="none"/>
          <w:lang w:val="en-US" w:eastAsia="zh-CN"/>
        </w:rPr>
      </w:pPr>
      <w:bookmarkStart w:id="8" w:name="_Toc14966"/>
      <w:bookmarkStart w:id="9" w:name="_Toc17894"/>
      <w:bookmarkStart w:id="10" w:name="_Toc7193"/>
      <w:bookmarkStart w:id="11" w:name="_Toc26815"/>
      <w:bookmarkStart w:id="12" w:name="_Toc7802"/>
      <w:bookmarkStart w:id="13" w:name="_Toc30994"/>
      <w:bookmarkStart w:id="14" w:name="_Toc7460"/>
      <w:bookmarkStart w:id="15" w:name="_Toc5726"/>
      <w:r>
        <w:rPr>
          <w:rFonts w:hint="eastAsia" w:ascii="宋体" w:hAnsi="宋体" w:eastAsia="宋体" w:cs="宋体"/>
          <w:b/>
          <w:bCs/>
          <w:color w:val="auto"/>
          <w:spacing w:val="0"/>
          <w:sz w:val="25"/>
          <w:szCs w:val="25"/>
          <w:highlight w:val="none"/>
          <w:lang w:val="en-US" w:eastAsia="zh-CN"/>
        </w:rPr>
        <w:t>（二）采购内容</w:t>
      </w:r>
      <w:bookmarkEnd w:id="8"/>
      <w:bookmarkEnd w:id="9"/>
      <w:bookmarkEnd w:id="10"/>
      <w:bookmarkEnd w:id="11"/>
      <w:bookmarkEnd w:id="12"/>
      <w:bookmarkEnd w:id="13"/>
      <w:bookmarkEnd w:id="14"/>
      <w:bookmarkEnd w:id="15"/>
    </w:p>
    <w:tbl>
      <w:tblPr>
        <w:tblStyle w:val="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6"/>
        <w:gridCol w:w="962"/>
        <w:gridCol w:w="888"/>
        <w:gridCol w:w="2581"/>
      </w:tblGrid>
      <w:tr w14:paraId="2BEF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46" w:type="dxa"/>
            <w:noWrap w:val="0"/>
            <w:vAlign w:val="center"/>
          </w:tcPr>
          <w:p w14:paraId="17BB3E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sz w:val="25"/>
                <w:szCs w:val="25"/>
                <w:highlight w:val="none"/>
              </w:rPr>
            </w:pPr>
            <w:bookmarkStart w:id="16" w:name="_Toc28359013"/>
            <w:bookmarkStart w:id="17" w:name="_Toc28359090"/>
            <w:bookmarkStart w:id="18" w:name="_Toc35393630"/>
            <w:bookmarkStart w:id="19" w:name="_Toc35393799"/>
            <w:r>
              <w:rPr>
                <w:rFonts w:hint="eastAsia" w:ascii="宋体" w:hAnsi="宋体" w:eastAsia="宋体" w:cs="宋体"/>
                <w:color w:val="auto"/>
                <w:spacing w:val="0"/>
                <w:sz w:val="25"/>
                <w:szCs w:val="25"/>
                <w:highlight w:val="none"/>
              </w:rPr>
              <w:t>项目名称</w:t>
            </w:r>
          </w:p>
        </w:tc>
        <w:tc>
          <w:tcPr>
            <w:tcW w:w="962" w:type="dxa"/>
            <w:noWrap w:val="0"/>
            <w:vAlign w:val="center"/>
          </w:tcPr>
          <w:p w14:paraId="749ED3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sz w:val="25"/>
                <w:szCs w:val="25"/>
                <w:highlight w:val="none"/>
              </w:rPr>
            </w:pPr>
            <w:r>
              <w:rPr>
                <w:rFonts w:hint="eastAsia" w:ascii="宋体" w:hAnsi="宋体" w:eastAsia="宋体" w:cs="宋体"/>
                <w:color w:val="auto"/>
                <w:spacing w:val="0"/>
                <w:sz w:val="25"/>
                <w:szCs w:val="25"/>
                <w:highlight w:val="none"/>
              </w:rPr>
              <w:t>数量</w:t>
            </w:r>
          </w:p>
        </w:tc>
        <w:tc>
          <w:tcPr>
            <w:tcW w:w="888" w:type="dxa"/>
            <w:noWrap w:val="0"/>
            <w:vAlign w:val="center"/>
          </w:tcPr>
          <w:p w14:paraId="061E87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sz w:val="25"/>
                <w:szCs w:val="25"/>
                <w:highlight w:val="none"/>
              </w:rPr>
            </w:pPr>
            <w:r>
              <w:rPr>
                <w:rFonts w:hint="eastAsia" w:ascii="宋体" w:hAnsi="宋体" w:eastAsia="宋体" w:cs="宋体"/>
                <w:color w:val="auto"/>
                <w:spacing w:val="0"/>
                <w:sz w:val="25"/>
                <w:szCs w:val="25"/>
                <w:highlight w:val="none"/>
              </w:rPr>
              <w:t>单位</w:t>
            </w:r>
          </w:p>
        </w:tc>
        <w:tc>
          <w:tcPr>
            <w:tcW w:w="2581" w:type="dxa"/>
            <w:noWrap w:val="0"/>
            <w:vAlign w:val="center"/>
          </w:tcPr>
          <w:p w14:paraId="0E1A17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sz w:val="25"/>
                <w:szCs w:val="25"/>
                <w:highlight w:val="none"/>
              </w:rPr>
            </w:pPr>
            <w:r>
              <w:rPr>
                <w:rFonts w:hint="eastAsia" w:ascii="宋体" w:hAnsi="宋体" w:eastAsia="宋体" w:cs="宋体"/>
                <w:color w:val="auto"/>
                <w:spacing w:val="0"/>
                <w:sz w:val="25"/>
                <w:szCs w:val="25"/>
                <w:highlight w:val="none"/>
              </w:rPr>
              <w:t>主要技术规格及要求</w:t>
            </w:r>
          </w:p>
        </w:tc>
      </w:tr>
      <w:tr w14:paraId="25F8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46" w:type="dxa"/>
            <w:noWrap w:val="0"/>
            <w:vAlign w:val="center"/>
          </w:tcPr>
          <w:p w14:paraId="25E4A9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sz w:val="25"/>
                <w:szCs w:val="25"/>
                <w:highlight w:val="none"/>
              </w:rPr>
            </w:pPr>
            <w:r>
              <w:rPr>
                <w:rFonts w:hint="eastAsia" w:ascii="宋体" w:hAnsi="宋体" w:eastAsia="宋体" w:cs="宋体"/>
                <w:b w:val="0"/>
                <w:bCs w:val="0"/>
                <w:color w:val="auto"/>
                <w:sz w:val="25"/>
                <w:szCs w:val="25"/>
                <w:highlight w:val="none"/>
                <w:lang w:eastAsia="zh-CN"/>
              </w:rPr>
              <w:t>电缆采购</w:t>
            </w:r>
            <w:r>
              <w:rPr>
                <w:rFonts w:hint="eastAsia" w:ascii="宋体" w:hAnsi="宋体" w:eastAsia="宋体" w:cs="宋体"/>
                <w:b w:val="0"/>
                <w:bCs w:val="0"/>
                <w:color w:val="auto"/>
                <w:sz w:val="25"/>
                <w:szCs w:val="25"/>
                <w:highlight w:val="none"/>
              </w:rPr>
              <w:t>（只允许国内</w:t>
            </w:r>
            <w:r>
              <w:rPr>
                <w:rFonts w:hint="eastAsia" w:ascii="宋体" w:hAnsi="宋体" w:eastAsia="宋体" w:cs="宋体"/>
                <w:b w:val="0"/>
                <w:bCs w:val="0"/>
                <w:color w:val="auto"/>
                <w:sz w:val="25"/>
                <w:szCs w:val="25"/>
                <w:highlight w:val="none"/>
                <w:lang w:val="en-US" w:eastAsia="zh-CN"/>
              </w:rPr>
              <w:t>供应商</w:t>
            </w:r>
            <w:r>
              <w:rPr>
                <w:rFonts w:hint="eastAsia" w:ascii="宋体" w:hAnsi="宋体" w:eastAsia="宋体" w:cs="宋体"/>
                <w:b w:val="0"/>
                <w:bCs w:val="0"/>
                <w:color w:val="auto"/>
                <w:sz w:val="25"/>
                <w:szCs w:val="25"/>
                <w:highlight w:val="none"/>
              </w:rPr>
              <w:t>）</w:t>
            </w:r>
          </w:p>
        </w:tc>
        <w:tc>
          <w:tcPr>
            <w:tcW w:w="962" w:type="dxa"/>
            <w:noWrap w:val="0"/>
            <w:vAlign w:val="center"/>
          </w:tcPr>
          <w:p w14:paraId="115B92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sz w:val="25"/>
                <w:szCs w:val="25"/>
                <w:highlight w:val="none"/>
                <w:lang w:val="en-US" w:eastAsia="zh-CN"/>
              </w:rPr>
            </w:pPr>
            <w:r>
              <w:rPr>
                <w:rFonts w:hint="eastAsia" w:ascii="宋体" w:hAnsi="宋体" w:eastAsia="宋体" w:cs="宋体"/>
                <w:color w:val="auto"/>
                <w:spacing w:val="0"/>
                <w:sz w:val="25"/>
                <w:szCs w:val="25"/>
                <w:highlight w:val="none"/>
                <w:lang w:val="en-US" w:eastAsia="zh-CN"/>
              </w:rPr>
              <w:t>1</w:t>
            </w:r>
          </w:p>
        </w:tc>
        <w:tc>
          <w:tcPr>
            <w:tcW w:w="888" w:type="dxa"/>
            <w:noWrap w:val="0"/>
            <w:vAlign w:val="center"/>
          </w:tcPr>
          <w:p w14:paraId="42F95F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0"/>
                <w:sz w:val="25"/>
                <w:szCs w:val="25"/>
                <w:highlight w:val="none"/>
                <w:lang w:val="en-US" w:eastAsia="zh-CN"/>
              </w:rPr>
            </w:pPr>
            <w:r>
              <w:rPr>
                <w:rFonts w:hint="eastAsia" w:ascii="宋体" w:hAnsi="宋体" w:eastAsia="宋体" w:cs="宋体"/>
                <w:color w:val="auto"/>
                <w:spacing w:val="0"/>
                <w:sz w:val="25"/>
                <w:szCs w:val="25"/>
                <w:highlight w:val="none"/>
                <w:lang w:val="en-US" w:eastAsia="zh-CN"/>
              </w:rPr>
              <w:t>项</w:t>
            </w:r>
          </w:p>
        </w:tc>
        <w:tc>
          <w:tcPr>
            <w:tcW w:w="2581" w:type="dxa"/>
            <w:noWrap w:val="0"/>
            <w:vAlign w:val="center"/>
          </w:tcPr>
          <w:p w14:paraId="31D481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auto"/>
                <w:spacing w:val="0"/>
                <w:sz w:val="25"/>
                <w:szCs w:val="25"/>
                <w:highlight w:val="none"/>
                <w:lang w:val="en-US" w:eastAsia="zh-CN"/>
              </w:rPr>
            </w:pPr>
            <w:r>
              <w:rPr>
                <w:rFonts w:hint="eastAsia" w:ascii="宋体" w:hAnsi="宋体" w:eastAsia="宋体" w:cs="宋体"/>
                <w:b w:val="0"/>
                <w:bCs w:val="0"/>
                <w:color w:val="auto"/>
                <w:spacing w:val="0"/>
                <w:sz w:val="25"/>
                <w:szCs w:val="25"/>
                <w:highlight w:val="none"/>
                <w:lang w:val="en-US" w:eastAsia="zh-CN"/>
              </w:rPr>
              <w:t>详见采购需求</w:t>
            </w:r>
          </w:p>
        </w:tc>
      </w:tr>
    </w:tbl>
    <w:p w14:paraId="46A63F23">
      <w:pPr>
        <w:keepNext w:val="0"/>
        <w:keepLines w:val="0"/>
        <w:pageBreakBefore w:val="0"/>
        <w:widowControl w:val="0"/>
        <w:kinsoku/>
        <w:wordWrap/>
        <w:overflowPunct/>
        <w:topLinePunct w:val="0"/>
        <w:autoSpaceDE/>
        <w:autoSpaceDN/>
        <w:bidi w:val="0"/>
        <w:adjustRightInd/>
        <w:snapToGrid/>
        <w:spacing w:line="440" w:lineRule="exact"/>
        <w:ind w:firstLine="502" w:firstLineChars="200"/>
        <w:jc w:val="left"/>
        <w:textAlignment w:val="auto"/>
        <w:rPr>
          <w:rFonts w:hint="eastAsia" w:ascii="宋体" w:hAnsi="宋体" w:eastAsia="宋体" w:cs="宋体"/>
          <w:b w:val="0"/>
          <w:bCs w:val="0"/>
          <w:color w:val="auto"/>
          <w:spacing w:val="0"/>
          <w:sz w:val="25"/>
          <w:szCs w:val="25"/>
          <w:highlight w:val="none"/>
          <w:lang w:val="en-US" w:eastAsia="zh-CN"/>
        </w:rPr>
      </w:pPr>
      <w:bookmarkStart w:id="20" w:name="_Toc25832"/>
      <w:bookmarkStart w:id="21" w:name="_Toc5503"/>
      <w:bookmarkStart w:id="22" w:name="_Toc19324"/>
      <w:bookmarkStart w:id="23" w:name="_Toc21096"/>
      <w:bookmarkStart w:id="24" w:name="_Toc2086"/>
      <w:bookmarkStart w:id="25" w:name="_Toc16048"/>
      <w:bookmarkStart w:id="26" w:name="_Toc32073"/>
      <w:bookmarkStart w:id="27" w:name="_Toc30491"/>
      <w:bookmarkStart w:id="28" w:name="_Toc22121"/>
      <w:bookmarkStart w:id="29" w:name="_Toc21522"/>
      <w:r>
        <w:rPr>
          <w:rFonts w:hint="eastAsia" w:ascii="宋体" w:hAnsi="宋体" w:eastAsia="宋体" w:cs="宋体"/>
          <w:b/>
          <w:bCs/>
          <w:color w:val="auto"/>
          <w:spacing w:val="0"/>
          <w:sz w:val="25"/>
          <w:szCs w:val="25"/>
          <w:highlight w:val="none"/>
          <w:lang w:val="en-US" w:eastAsia="zh-CN"/>
        </w:rPr>
        <w:t>合同履约：</w:t>
      </w:r>
      <w:r>
        <w:rPr>
          <w:rFonts w:hint="eastAsia" w:ascii="宋体" w:hAnsi="宋体" w:eastAsia="宋体" w:cs="宋体"/>
          <w:b w:val="0"/>
          <w:bCs w:val="0"/>
          <w:color w:val="auto"/>
          <w:spacing w:val="0"/>
          <w:sz w:val="25"/>
          <w:szCs w:val="25"/>
          <w:highlight w:val="none"/>
          <w:lang w:val="en-US" w:eastAsia="zh-CN"/>
        </w:rPr>
        <w:t>中标供应商与招标人应当在采购结果公告，发出之日起二十日内按照采购文件确定的事项签订书面合同,</w:t>
      </w:r>
      <w:bookmarkEnd w:id="20"/>
      <w:bookmarkEnd w:id="21"/>
      <w:bookmarkEnd w:id="22"/>
      <w:bookmarkEnd w:id="23"/>
      <w:bookmarkEnd w:id="24"/>
      <w:bookmarkEnd w:id="25"/>
      <w:bookmarkEnd w:id="26"/>
      <w:r>
        <w:rPr>
          <w:rFonts w:hint="eastAsia" w:ascii="宋体" w:hAnsi="宋体" w:eastAsia="宋体" w:cs="宋体"/>
          <w:b/>
          <w:bCs/>
          <w:color w:val="auto"/>
          <w:spacing w:val="0"/>
          <w:sz w:val="25"/>
          <w:szCs w:val="25"/>
          <w:highlight w:val="none"/>
          <w:lang w:val="en-US" w:eastAsia="zh-CN"/>
        </w:rPr>
        <w:t>15日内完成供货。</w:t>
      </w:r>
    </w:p>
    <w:p w14:paraId="46FDF43E">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outlineLvl w:val="0"/>
        <w:rPr>
          <w:rFonts w:hint="default" w:ascii="宋体" w:hAnsi="宋体" w:eastAsia="宋体" w:cs="宋体"/>
          <w:b w:val="0"/>
          <w:bCs w:val="0"/>
          <w:color w:val="auto"/>
          <w:spacing w:val="0"/>
          <w:sz w:val="25"/>
          <w:szCs w:val="25"/>
          <w:highlight w:val="none"/>
          <w:lang w:val="en-US" w:eastAsia="zh-CN"/>
        </w:rPr>
      </w:pPr>
      <w:bookmarkStart w:id="30" w:name="_Toc5515"/>
      <w:bookmarkStart w:id="31" w:name="_Toc9970"/>
      <w:bookmarkStart w:id="32" w:name="_Toc16530"/>
      <w:bookmarkStart w:id="33" w:name="_Toc11025"/>
      <w:bookmarkStart w:id="34" w:name="_Toc9623"/>
      <w:r>
        <w:rPr>
          <w:rFonts w:hint="eastAsia" w:ascii="宋体" w:hAnsi="宋体" w:eastAsia="宋体" w:cs="宋体"/>
          <w:b w:val="0"/>
          <w:bCs w:val="0"/>
          <w:color w:val="auto"/>
          <w:spacing w:val="0"/>
          <w:sz w:val="25"/>
          <w:szCs w:val="25"/>
          <w:highlight w:val="none"/>
          <w:lang w:val="en-US" w:eastAsia="zh-CN"/>
        </w:rPr>
        <w:t>联合体：本项目不接受联合体。</w:t>
      </w:r>
      <w:bookmarkEnd w:id="30"/>
      <w:bookmarkEnd w:id="31"/>
      <w:bookmarkEnd w:id="32"/>
      <w:bookmarkEnd w:id="33"/>
      <w:bookmarkEnd w:id="34"/>
    </w:p>
    <w:p w14:paraId="106A743D">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2" w:firstLineChars="200"/>
        <w:textAlignment w:val="auto"/>
        <w:outlineLvl w:val="1"/>
        <w:rPr>
          <w:rFonts w:hint="eastAsia" w:ascii="宋体" w:hAnsi="宋体" w:eastAsia="宋体" w:cs="宋体"/>
          <w:b/>
          <w:bCs/>
          <w:color w:val="auto"/>
          <w:spacing w:val="0"/>
          <w:sz w:val="25"/>
          <w:szCs w:val="25"/>
          <w:highlight w:val="none"/>
          <w:lang w:val="en-US" w:eastAsia="zh-CN"/>
        </w:rPr>
      </w:pPr>
      <w:bookmarkStart w:id="35" w:name="_Toc19607"/>
      <w:bookmarkStart w:id="36" w:name="_Toc4568"/>
      <w:bookmarkStart w:id="37" w:name="_Toc9236"/>
      <w:bookmarkStart w:id="38" w:name="_Toc23269"/>
      <w:bookmarkStart w:id="39" w:name="_Toc9149"/>
      <w:r>
        <w:rPr>
          <w:rFonts w:hint="eastAsia" w:ascii="宋体" w:hAnsi="宋体" w:eastAsia="宋体" w:cs="宋体"/>
          <w:b/>
          <w:bCs/>
          <w:color w:val="auto"/>
          <w:spacing w:val="0"/>
          <w:sz w:val="25"/>
          <w:szCs w:val="25"/>
          <w:highlight w:val="none"/>
          <w:lang w:val="en-US" w:eastAsia="zh-CN"/>
        </w:rPr>
        <w:t>（三）</w:t>
      </w:r>
      <w:bookmarkEnd w:id="16"/>
      <w:bookmarkEnd w:id="17"/>
      <w:bookmarkEnd w:id="18"/>
      <w:bookmarkEnd w:id="19"/>
      <w:r>
        <w:rPr>
          <w:rFonts w:hint="eastAsia" w:ascii="宋体" w:hAnsi="宋体" w:eastAsia="宋体" w:cs="宋体"/>
          <w:b/>
          <w:bCs/>
          <w:color w:val="auto"/>
          <w:spacing w:val="0"/>
          <w:sz w:val="25"/>
          <w:szCs w:val="25"/>
          <w:highlight w:val="none"/>
          <w:lang w:val="en-US" w:eastAsia="zh-CN"/>
        </w:rPr>
        <w:t>申请人资格要求：</w:t>
      </w:r>
      <w:bookmarkEnd w:id="27"/>
      <w:bookmarkEnd w:id="28"/>
      <w:bookmarkEnd w:id="29"/>
      <w:bookmarkEnd w:id="35"/>
      <w:bookmarkEnd w:id="36"/>
      <w:bookmarkEnd w:id="37"/>
      <w:bookmarkEnd w:id="38"/>
      <w:bookmarkEnd w:id="39"/>
    </w:p>
    <w:p w14:paraId="181D98C3">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1、满足《中华人民共和国政府采购法》第二十二条规定的基本条件。</w:t>
      </w:r>
    </w:p>
    <w:p w14:paraId="52198A2B">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1）具有独立承担民事责任的能力；</w:t>
      </w:r>
    </w:p>
    <w:p w14:paraId="28DAA165">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2）具有良好的商业信誉和健全的财务会计制度；</w:t>
      </w:r>
    </w:p>
    <w:p w14:paraId="00A10254">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3）具有履行合同所必需的设备和专业技术能力；</w:t>
      </w:r>
    </w:p>
    <w:p w14:paraId="63BDAF06">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4）有依法缴纳税收和社会保障资金的良好记录；</w:t>
      </w:r>
    </w:p>
    <w:p w14:paraId="403018C2">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5）参加采购活动前三年内，在经营活动中没有重大违法记录</w:t>
      </w:r>
    </w:p>
    <w:p w14:paraId="7D760B1A">
      <w:pPr>
        <w:pStyle w:val="5"/>
        <w:keepNext w:val="0"/>
        <w:keepLines w:val="0"/>
        <w:pageBreakBefore w:val="0"/>
        <w:widowControl w:val="0"/>
        <w:kinsoku/>
        <w:wordWrap/>
        <w:overflowPunct/>
        <w:topLinePunct w:val="0"/>
        <w:autoSpaceDE/>
        <w:autoSpaceDN/>
        <w:bidi w:val="0"/>
        <w:adjustRightInd/>
        <w:snapToGrid/>
        <w:spacing w:line="500" w:lineRule="exact"/>
        <w:ind w:firstLine="502"/>
        <w:textAlignment w:val="auto"/>
        <w:outlineLvl w:val="1"/>
        <w:rPr>
          <w:rFonts w:hint="eastAsia" w:ascii="宋体" w:hAnsi="宋体" w:eastAsia="宋体" w:cs="宋体"/>
          <w:b w:val="0"/>
          <w:bCs w:val="0"/>
          <w:color w:val="auto"/>
          <w:spacing w:val="0"/>
          <w:sz w:val="25"/>
          <w:szCs w:val="25"/>
          <w:highlight w:val="none"/>
          <w:lang w:val="en-US" w:eastAsia="zh-CN"/>
        </w:rPr>
      </w:pPr>
      <w:bookmarkStart w:id="40" w:name="_Toc32124"/>
      <w:bookmarkStart w:id="41" w:name="_Toc28359014"/>
      <w:bookmarkStart w:id="42" w:name="_Toc30695"/>
      <w:bookmarkStart w:id="43" w:name="_Toc8509"/>
      <w:bookmarkStart w:id="44" w:name="_Toc24526"/>
      <w:bookmarkStart w:id="45" w:name="_Toc2728"/>
      <w:bookmarkStart w:id="46" w:name="_Toc35393631"/>
      <w:bookmarkStart w:id="47" w:name="_Toc28359091"/>
      <w:bookmarkStart w:id="48" w:name="_Toc20793"/>
      <w:bookmarkStart w:id="49" w:name="_Toc23214"/>
      <w:bookmarkStart w:id="50" w:name="_Toc35393800"/>
      <w:bookmarkStart w:id="51" w:name="_Toc28936"/>
      <w:r>
        <w:rPr>
          <w:rFonts w:hint="eastAsia" w:ascii="宋体" w:hAnsi="宋体" w:eastAsia="宋体" w:cs="宋体"/>
          <w:b w:val="0"/>
          <w:bCs w:val="0"/>
          <w:color w:val="auto"/>
          <w:spacing w:val="0"/>
          <w:sz w:val="25"/>
          <w:szCs w:val="25"/>
          <w:highlight w:val="none"/>
          <w:lang w:val="en-US" w:eastAsia="zh-CN"/>
        </w:rPr>
        <w:t>2、本项目的特定资格要求：</w:t>
      </w:r>
      <w:bookmarkEnd w:id="40"/>
      <w:r>
        <w:rPr>
          <w:rFonts w:hint="eastAsia" w:ascii="宋体" w:hAnsi="宋体" w:eastAsia="宋体" w:cs="宋体"/>
          <w:b w:val="0"/>
          <w:bCs w:val="0"/>
          <w:color w:val="auto"/>
          <w:spacing w:val="0"/>
          <w:sz w:val="25"/>
          <w:szCs w:val="25"/>
          <w:highlight w:val="none"/>
          <w:lang w:val="en-US" w:eastAsia="zh-CN"/>
        </w:rPr>
        <w:t>无</w:t>
      </w:r>
    </w:p>
    <w:p w14:paraId="15D50E20">
      <w:pPr>
        <w:pStyle w:val="5"/>
        <w:keepNext w:val="0"/>
        <w:keepLines w:val="0"/>
        <w:pageBreakBefore w:val="0"/>
        <w:widowControl w:val="0"/>
        <w:kinsoku/>
        <w:wordWrap/>
        <w:overflowPunct/>
        <w:topLinePunct w:val="0"/>
        <w:autoSpaceDE/>
        <w:autoSpaceDN/>
        <w:bidi w:val="0"/>
        <w:adjustRightInd/>
        <w:snapToGrid/>
        <w:spacing w:line="500" w:lineRule="exact"/>
        <w:ind w:firstLine="502"/>
        <w:textAlignment w:val="auto"/>
        <w:outlineLvl w:val="1"/>
        <w:rPr>
          <w:rFonts w:hint="eastAsia" w:ascii="宋体" w:hAnsi="宋体" w:eastAsia="宋体" w:cs="宋体"/>
          <w:b/>
          <w:color w:val="auto"/>
          <w:spacing w:val="0"/>
          <w:sz w:val="25"/>
          <w:szCs w:val="25"/>
          <w:highlight w:val="none"/>
        </w:rPr>
      </w:pPr>
      <w:bookmarkStart w:id="52" w:name="_Toc19839"/>
      <w:r>
        <w:rPr>
          <w:rFonts w:hint="eastAsia" w:ascii="宋体" w:hAnsi="宋体" w:eastAsia="宋体" w:cs="宋体"/>
          <w:b/>
          <w:bCs/>
          <w:color w:val="auto"/>
          <w:spacing w:val="0"/>
          <w:sz w:val="25"/>
          <w:szCs w:val="25"/>
          <w:highlight w:val="none"/>
          <w:lang w:val="en-US" w:eastAsia="zh-CN"/>
        </w:rPr>
        <w:t>（四）获取文件</w:t>
      </w:r>
      <w:bookmarkEnd w:id="41"/>
      <w:bookmarkEnd w:id="42"/>
      <w:bookmarkEnd w:id="43"/>
      <w:bookmarkEnd w:id="44"/>
      <w:bookmarkEnd w:id="45"/>
      <w:bookmarkEnd w:id="46"/>
      <w:bookmarkEnd w:id="47"/>
      <w:bookmarkEnd w:id="48"/>
      <w:bookmarkEnd w:id="49"/>
      <w:bookmarkEnd w:id="50"/>
      <w:bookmarkEnd w:id="51"/>
      <w:bookmarkEnd w:id="52"/>
    </w:p>
    <w:p w14:paraId="4B034154">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bookmarkStart w:id="53" w:name="_Toc28359015"/>
      <w:bookmarkStart w:id="54" w:name="_Toc28359092"/>
      <w:bookmarkStart w:id="55" w:name="_Toc35393632"/>
      <w:bookmarkStart w:id="56" w:name="_Toc35393801"/>
      <w:r>
        <w:rPr>
          <w:rFonts w:hint="eastAsia" w:ascii="宋体" w:hAnsi="宋体" w:eastAsia="宋体" w:cs="宋体"/>
          <w:b w:val="0"/>
          <w:bCs/>
          <w:color w:val="auto"/>
          <w:spacing w:val="0"/>
          <w:sz w:val="25"/>
          <w:szCs w:val="25"/>
          <w:highlight w:val="none"/>
          <w:lang w:val="en-US" w:eastAsia="zh-CN"/>
        </w:rPr>
        <w:t>时间：2025年7月24日至2025年7月27日，每天上午08:30至12:00，下午14:30至17:30（北京时间，法定节假日除外）。</w:t>
      </w:r>
    </w:p>
    <w:p w14:paraId="35CCA7BD">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方式：现场获取或网上获取,通过电子邮件方式获取的（邮箱地址：dxjy5677488@163.com）</w:t>
      </w:r>
    </w:p>
    <w:bookmarkEnd w:id="53"/>
    <w:bookmarkEnd w:id="54"/>
    <w:bookmarkEnd w:id="55"/>
    <w:bookmarkEnd w:id="56"/>
    <w:p w14:paraId="07F89D2D">
      <w:pPr>
        <w:keepNext w:val="0"/>
        <w:keepLines w:val="0"/>
        <w:pageBreakBefore w:val="0"/>
        <w:widowControl w:val="0"/>
        <w:kinsoku/>
        <w:wordWrap/>
        <w:overflowPunct/>
        <w:topLinePunct w:val="0"/>
        <w:autoSpaceDE/>
        <w:autoSpaceDN/>
        <w:bidi w:val="0"/>
        <w:adjustRightInd/>
        <w:snapToGrid/>
        <w:spacing w:line="500" w:lineRule="exact"/>
        <w:ind w:firstLine="540"/>
        <w:textAlignment w:val="auto"/>
        <w:outlineLvl w:val="1"/>
        <w:rPr>
          <w:rFonts w:hint="default" w:ascii="宋体" w:hAnsi="宋体" w:cs="宋体"/>
          <w:b/>
          <w:bCs/>
          <w:color w:val="auto"/>
          <w:spacing w:val="0"/>
          <w:sz w:val="25"/>
          <w:szCs w:val="25"/>
          <w:highlight w:val="none"/>
          <w:lang w:val="en-US" w:eastAsia="zh-CN"/>
        </w:rPr>
      </w:pPr>
      <w:bookmarkStart w:id="57" w:name="_Toc23976"/>
      <w:bookmarkStart w:id="58" w:name="_Toc29725"/>
      <w:bookmarkStart w:id="59" w:name="_Toc3523"/>
      <w:bookmarkStart w:id="60" w:name="_Toc7374"/>
      <w:bookmarkStart w:id="61" w:name="_Toc27090"/>
      <w:bookmarkStart w:id="62" w:name="_Toc21338"/>
      <w:bookmarkStart w:id="63" w:name="_Toc8629"/>
      <w:bookmarkStart w:id="64" w:name="_Toc28284"/>
      <w:r>
        <w:rPr>
          <w:rFonts w:hint="eastAsia" w:ascii="宋体" w:hAnsi="宋体" w:cs="宋体"/>
          <w:b/>
          <w:bCs/>
          <w:color w:val="auto"/>
          <w:spacing w:val="0"/>
          <w:sz w:val="25"/>
          <w:szCs w:val="25"/>
          <w:highlight w:val="none"/>
          <w:lang w:val="en-US" w:eastAsia="zh-CN"/>
        </w:rPr>
        <w:t>（五）提交</w:t>
      </w:r>
      <w:r>
        <w:rPr>
          <w:rFonts w:hint="eastAsia" w:ascii="宋体" w:hAnsi="宋体" w:eastAsia="宋体" w:cs="宋体"/>
          <w:b/>
          <w:color w:val="auto"/>
          <w:spacing w:val="0"/>
          <w:sz w:val="25"/>
          <w:szCs w:val="25"/>
          <w:highlight w:val="none"/>
        </w:rPr>
        <w:t>文件</w:t>
      </w:r>
      <w:r>
        <w:rPr>
          <w:rFonts w:hint="eastAsia" w:ascii="宋体" w:hAnsi="宋体" w:cs="宋体"/>
          <w:b/>
          <w:bCs/>
          <w:color w:val="auto"/>
          <w:spacing w:val="0"/>
          <w:sz w:val="25"/>
          <w:szCs w:val="25"/>
          <w:highlight w:val="none"/>
          <w:lang w:val="en-US" w:eastAsia="zh-CN"/>
        </w:rPr>
        <w:t>时间</w:t>
      </w:r>
      <w:bookmarkEnd w:id="57"/>
      <w:bookmarkEnd w:id="58"/>
      <w:bookmarkEnd w:id="59"/>
      <w:bookmarkEnd w:id="60"/>
      <w:bookmarkEnd w:id="61"/>
      <w:bookmarkEnd w:id="62"/>
      <w:bookmarkEnd w:id="63"/>
      <w:bookmarkEnd w:id="64"/>
    </w:p>
    <w:p w14:paraId="1947C8B0">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截止时间：2025年7月28日09点30分（北京时间）</w:t>
      </w:r>
    </w:p>
    <w:p w14:paraId="2852D6DE">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0"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val="0"/>
          <w:bCs/>
          <w:color w:val="auto"/>
          <w:spacing w:val="0"/>
          <w:sz w:val="25"/>
          <w:szCs w:val="25"/>
          <w:highlight w:val="none"/>
          <w:lang w:val="en-US" w:eastAsia="zh-CN"/>
        </w:rPr>
        <w:t>地点：会昌县德欣教育科技有限公司701室（会昌县月亮湾商会大厦七楼）</w:t>
      </w:r>
    </w:p>
    <w:p w14:paraId="45E4897D">
      <w:pPr>
        <w:keepNext w:val="0"/>
        <w:keepLines w:val="0"/>
        <w:pageBreakBefore w:val="0"/>
        <w:widowControl w:val="0"/>
        <w:kinsoku/>
        <w:wordWrap/>
        <w:overflowPunct/>
        <w:topLinePunct w:val="0"/>
        <w:autoSpaceDE/>
        <w:autoSpaceDN/>
        <w:bidi w:val="0"/>
        <w:adjustRightInd/>
        <w:snapToGrid/>
        <w:spacing w:line="500" w:lineRule="exact"/>
        <w:ind w:firstLine="540"/>
        <w:textAlignment w:val="auto"/>
        <w:outlineLvl w:val="1"/>
        <w:rPr>
          <w:rFonts w:hint="eastAsia" w:ascii="宋体" w:hAnsi="宋体" w:cs="宋体"/>
          <w:b/>
          <w:bCs/>
          <w:color w:val="auto"/>
          <w:spacing w:val="0"/>
          <w:sz w:val="25"/>
          <w:szCs w:val="25"/>
          <w:highlight w:val="none"/>
          <w:lang w:val="en-US" w:eastAsia="zh-CN"/>
        </w:rPr>
      </w:pPr>
      <w:bookmarkStart w:id="65" w:name="_Toc2163"/>
      <w:bookmarkStart w:id="66" w:name="_Toc610"/>
      <w:bookmarkStart w:id="67" w:name="_Toc31374"/>
      <w:bookmarkStart w:id="68" w:name="_Toc16357"/>
      <w:bookmarkStart w:id="69" w:name="_Toc18623"/>
      <w:bookmarkStart w:id="70" w:name="_Toc31883"/>
      <w:bookmarkStart w:id="71" w:name="_Toc19427"/>
      <w:bookmarkStart w:id="72" w:name="_Toc22543"/>
      <w:r>
        <w:rPr>
          <w:rFonts w:hint="eastAsia" w:ascii="宋体" w:hAnsi="宋体" w:cs="宋体"/>
          <w:b/>
          <w:bCs/>
          <w:color w:val="auto"/>
          <w:spacing w:val="0"/>
          <w:sz w:val="25"/>
          <w:szCs w:val="25"/>
          <w:highlight w:val="none"/>
          <w:lang w:val="en-US" w:eastAsia="zh-CN"/>
        </w:rPr>
        <w:t>（六）开启时间</w:t>
      </w:r>
      <w:bookmarkEnd w:id="65"/>
      <w:bookmarkEnd w:id="66"/>
      <w:bookmarkEnd w:id="67"/>
      <w:bookmarkEnd w:id="68"/>
      <w:bookmarkEnd w:id="69"/>
      <w:bookmarkEnd w:id="70"/>
      <w:bookmarkEnd w:id="71"/>
      <w:bookmarkEnd w:id="72"/>
    </w:p>
    <w:p w14:paraId="06F5C02D">
      <w:pPr>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default" w:ascii="宋体" w:hAnsi="宋体" w:cs="宋体"/>
          <w:color w:val="auto"/>
          <w:spacing w:val="0"/>
          <w:sz w:val="25"/>
          <w:szCs w:val="25"/>
          <w:highlight w:val="none"/>
          <w:lang w:val="en-US" w:eastAsia="zh-CN"/>
        </w:rPr>
      </w:pPr>
      <w:r>
        <w:rPr>
          <w:rFonts w:hint="eastAsia" w:ascii="宋体" w:hAnsi="宋体" w:cs="宋体"/>
          <w:color w:val="auto"/>
          <w:spacing w:val="0"/>
          <w:sz w:val="25"/>
          <w:szCs w:val="25"/>
          <w:highlight w:val="none"/>
          <w:lang w:val="en-US" w:eastAsia="zh-CN"/>
        </w:rPr>
        <w:t>开启时间：2025年7月28日09点30分（北京时间）</w:t>
      </w:r>
    </w:p>
    <w:p w14:paraId="3F482E01">
      <w:pPr>
        <w:keepNext w:val="0"/>
        <w:keepLines w:val="0"/>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cs="宋体"/>
          <w:color w:val="auto"/>
          <w:spacing w:val="0"/>
          <w:sz w:val="25"/>
          <w:szCs w:val="25"/>
          <w:highlight w:val="none"/>
          <w:lang w:val="en-US" w:eastAsia="zh-CN"/>
        </w:rPr>
      </w:pPr>
      <w:r>
        <w:rPr>
          <w:rFonts w:hint="eastAsia" w:ascii="宋体" w:hAnsi="宋体" w:cs="宋体"/>
          <w:color w:val="auto"/>
          <w:spacing w:val="0"/>
          <w:sz w:val="25"/>
          <w:szCs w:val="25"/>
          <w:highlight w:val="none"/>
          <w:lang w:val="en-US" w:eastAsia="zh-CN"/>
        </w:rPr>
        <w:t>地点：</w:t>
      </w:r>
      <w:r>
        <w:rPr>
          <w:rFonts w:hint="eastAsia" w:ascii="宋体" w:hAnsi="宋体" w:eastAsia="宋体" w:cs="宋体"/>
          <w:color w:val="auto"/>
          <w:spacing w:val="0"/>
          <w:sz w:val="25"/>
          <w:szCs w:val="25"/>
          <w:highlight w:val="none"/>
          <w:lang w:val="en-US" w:eastAsia="zh-CN"/>
        </w:rPr>
        <w:t>会昌县德欣教育科技有限公司701室</w:t>
      </w:r>
      <w:r>
        <w:rPr>
          <w:rFonts w:hint="eastAsia" w:ascii="宋体" w:hAnsi="宋体" w:cs="宋体"/>
          <w:color w:val="auto"/>
          <w:spacing w:val="0"/>
          <w:sz w:val="25"/>
          <w:szCs w:val="25"/>
          <w:highlight w:val="none"/>
          <w:lang w:val="en-US" w:eastAsia="zh-CN"/>
        </w:rPr>
        <w:t>（会昌县月亮湾商会大厦七楼）</w:t>
      </w:r>
    </w:p>
    <w:p w14:paraId="1267CCB2">
      <w:pPr>
        <w:keepNext w:val="0"/>
        <w:keepLines w:val="0"/>
        <w:pageBreakBefore w:val="0"/>
        <w:widowControl w:val="0"/>
        <w:kinsoku/>
        <w:wordWrap/>
        <w:overflowPunct/>
        <w:topLinePunct w:val="0"/>
        <w:autoSpaceDE/>
        <w:autoSpaceDN/>
        <w:bidi w:val="0"/>
        <w:adjustRightInd/>
        <w:snapToGrid/>
        <w:spacing w:line="500" w:lineRule="exact"/>
        <w:ind w:firstLine="540"/>
        <w:textAlignment w:val="auto"/>
        <w:outlineLvl w:val="1"/>
        <w:rPr>
          <w:rFonts w:hint="eastAsia" w:ascii="宋体" w:hAnsi="宋体" w:eastAsia="宋体" w:cs="宋体"/>
          <w:b/>
          <w:bCs/>
          <w:color w:val="auto"/>
          <w:spacing w:val="0"/>
          <w:sz w:val="25"/>
          <w:szCs w:val="25"/>
          <w:highlight w:val="none"/>
          <w:lang w:val="en-US" w:eastAsia="zh-CN"/>
        </w:rPr>
      </w:pPr>
      <w:bookmarkStart w:id="73" w:name="_Toc21422"/>
      <w:bookmarkStart w:id="74" w:name="_Toc5519"/>
      <w:bookmarkStart w:id="75" w:name="_Toc8506"/>
      <w:bookmarkStart w:id="76" w:name="_Toc18939"/>
      <w:bookmarkStart w:id="77" w:name="_Toc6441"/>
      <w:bookmarkStart w:id="78" w:name="_Toc22762"/>
      <w:bookmarkStart w:id="79" w:name="_Toc31031"/>
      <w:bookmarkStart w:id="80" w:name="_Toc28507"/>
      <w:r>
        <w:rPr>
          <w:rFonts w:hint="eastAsia" w:ascii="宋体" w:hAnsi="宋体" w:eastAsia="宋体" w:cs="宋体"/>
          <w:b/>
          <w:bCs/>
          <w:color w:val="auto"/>
          <w:spacing w:val="0"/>
          <w:sz w:val="25"/>
          <w:szCs w:val="25"/>
          <w:highlight w:val="none"/>
          <w:lang w:val="en-US" w:eastAsia="zh-CN"/>
        </w:rPr>
        <w:t>（七）其他补充事宜</w:t>
      </w:r>
      <w:bookmarkEnd w:id="73"/>
      <w:bookmarkEnd w:id="74"/>
      <w:bookmarkEnd w:id="75"/>
      <w:bookmarkEnd w:id="76"/>
      <w:bookmarkEnd w:id="77"/>
    </w:p>
    <w:p w14:paraId="3F1C5CE3">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02" w:firstLineChars="200"/>
        <w:textAlignment w:val="auto"/>
        <w:rPr>
          <w:rFonts w:hint="eastAsia" w:ascii="宋体" w:hAnsi="宋体" w:eastAsia="宋体" w:cs="宋体"/>
          <w:b w:val="0"/>
          <w:bCs/>
          <w:color w:val="auto"/>
          <w:spacing w:val="0"/>
          <w:sz w:val="25"/>
          <w:szCs w:val="25"/>
          <w:highlight w:val="none"/>
          <w:lang w:val="en-US" w:eastAsia="zh-CN"/>
        </w:rPr>
      </w:pPr>
      <w:r>
        <w:rPr>
          <w:rFonts w:hint="eastAsia" w:ascii="宋体" w:hAnsi="宋体" w:eastAsia="宋体" w:cs="宋体"/>
          <w:b/>
          <w:bCs w:val="0"/>
          <w:color w:val="auto"/>
          <w:spacing w:val="0"/>
          <w:sz w:val="25"/>
          <w:szCs w:val="25"/>
          <w:highlight w:val="none"/>
          <w:lang w:val="en-US" w:eastAsia="zh-CN"/>
        </w:rPr>
        <w:t>1、响应须知：</w:t>
      </w:r>
      <w:r>
        <w:rPr>
          <w:rFonts w:hint="eastAsia" w:ascii="宋体" w:hAnsi="宋体" w:eastAsia="宋体" w:cs="宋体"/>
          <w:b w:val="0"/>
          <w:bCs/>
          <w:color w:val="auto"/>
          <w:spacing w:val="0"/>
          <w:sz w:val="25"/>
          <w:szCs w:val="25"/>
          <w:highlight w:val="none"/>
          <w:lang w:val="en-US" w:eastAsia="zh-CN"/>
        </w:rPr>
        <w:t>请响应供应商的法定代表人（经营者、单位负责人）或其授权代表出席开启大会。响应文件需须加盖公章且胶装或装订成册，逾期或不符合规定的响应文件恕不接受。</w:t>
      </w:r>
    </w:p>
    <w:p w14:paraId="34E25FD6">
      <w:pPr>
        <w:spacing w:line="360" w:lineRule="auto"/>
        <w:ind w:firstLine="502" w:firstLineChars="200"/>
        <w:jc w:val="left"/>
        <w:rPr>
          <w:rFonts w:hint="eastAsia" w:ascii="宋体" w:hAnsi="宋体" w:eastAsia="宋体" w:cs="宋体"/>
          <w:b w:val="0"/>
          <w:bCs/>
          <w:color w:val="auto"/>
          <w:spacing w:val="0"/>
          <w:kern w:val="2"/>
          <w:sz w:val="25"/>
          <w:szCs w:val="25"/>
          <w:highlight w:val="none"/>
          <w:lang w:val="en-US" w:eastAsia="zh-CN" w:bidi="ar-SA"/>
        </w:rPr>
      </w:pPr>
      <w:r>
        <w:rPr>
          <w:rFonts w:hint="eastAsia" w:ascii="宋体" w:hAnsi="宋体" w:eastAsia="宋体" w:cs="宋体"/>
          <w:b/>
          <w:bCs w:val="0"/>
          <w:color w:val="auto"/>
          <w:spacing w:val="0"/>
          <w:sz w:val="25"/>
          <w:szCs w:val="25"/>
          <w:highlight w:val="none"/>
          <w:lang w:val="en-US" w:eastAsia="zh-CN"/>
        </w:rPr>
        <w:t>2、竞价方式：</w:t>
      </w:r>
      <w:r>
        <w:rPr>
          <w:rFonts w:hint="eastAsia" w:ascii="宋体" w:hAnsi="宋体" w:eastAsia="宋体" w:cs="宋体"/>
          <w:b w:val="0"/>
          <w:bCs/>
          <w:color w:val="auto"/>
          <w:spacing w:val="0"/>
          <w:kern w:val="2"/>
          <w:sz w:val="25"/>
          <w:szCs w:val="25"/>
          <w:highlight w:val="none"/>
          <w:lang w:val="en-US" w:eastAsia="zh-CN" w:bidi="ar-SA"/>
        </w:rPr>
        <w:t>开启结束后，符合条件的所有响应供应商在规定的时间内提出最终报价（二次报价）。最终报价（二次报价）在没有修正参数的前提下，最终报价（二次报价）不得高于一次报价，否则视为无效响应。在修正参数的前提下，最终报价（二次报价）可高于一次报价。响应报价（二次报价）为一次性不得修改的最终报价，任何有选择的报价都将被拒绝。</w:t>
      </w:r>
    </w:p>
    <w:p w14:paraId="360E545C">
      <w:pPr>
        <w:keepNext w:val="0"/>
        <w:keepLines w:val="0"/>
        <w:pageBreakBefore w:val="0"/>
        <w:widowControl w:val="0"/>
        <w:kinsoku/>
        <w:wordWrap/>
        <w:overflowPunct/>
        <w:topLinePunct w:val="0"/>
        <w:autoSpaceDE/>
        <w:autoSpaceDN/>
        <w:bidi w:val="0"/>
        <w:adjustRightInd/>
        <w:snapToGrid/>
        <w:spacing w:line="520" w:lineRule="exact"/>
        <w:ind w:firstLine="492" w:firstLineChars="196"/>
        <w:textAlignment w:val="auto"/>
        <w:outlineLvl w:val="1"/>
        <w:rPr>
          <w:rFonts w:hint="eastAsia" w:ascii="宋体" w:hAnsi="宋体" w:eastAsia="宋体" w:cs="宋体"/>
          <w:b w:val="0"/>
          <w:bCs w:val="0"/>
          <w:color w:val="auto"/>
          <w:spacing w:val="0"/>
          <w:sz w:val="25"/>
          <w:szCs w:val="25"/>
          <w:highlight w:val="none"/>
          <w:lang w:val="en-US" w:eastAsia="zh-CN"/>
        </w:rPr>
      </w:pPr>
      <w:bookmarkStart w:id="81" w:name="_Toc17570"/>
      <w:r>
        <w:rPr>
          <w:rFonts w:hint="eastAsia" w:ascii="宋体" w:hAnsi="宋体" w:eastAsia="宋体" w:cs="宋体"/>
          <w:b/>
          <w:bCs w:val="0"/>
          <w:color w:val="auto"/>
          <w:spacing w:val="0"/>
          <w:sz w:val="25"/>
          <w:szCs w:val="25"/>
          <w:highlight w:val="none"/>
          <w:lang w:val="en-US" w:eastAsia="zh-CN"/>
        </w:rPr>
        <w:t>3、付款方法：</w:t>
      </w:r>
      <w:bookmarkEnd w:id="78"/>
      <w:bookmarkEnd w:id="79"/>
      <w:bookmarkEnd w:id="80"/>
      <w:bookmarkEnd w:id="81"/>
      <w:bookmarkStart w:id="82" w:name="_Toc26937"/>
      <w:bookmarkStart w:id="83" w:name="_Toc8740"/>
      <w:bookmarkStart w:id="84" w:name="_Toc25855"/>
      <w:bookmarkStart w:id="85" w:name="_Toc5454"/>
      <w:bookmarkStart w:id="86" w:name="_Toc6359"/>
      <w:bookmarkStart w:id="87" w:name="_Toc20117"/>
      <w:bookmarkStart w:id="88" w:name="_Toc30507"/>
      <w:r>
        <w:rPr>
          <w:rFonts w:hint="eastAsia" w:ascii="宋体" w:hAnsi="宋体" w:eastAsia="宋体" w:cs="宋体"/>
          <w:b w:val="0"/>
          <w:bCs w:val="0"/>
          <w:color w:val="auto"/>
          <w:spacing w:val="0"/>
          <w:sz w:val="25"/>
          <w:szCs w:val="25"/>
          <w:highlight w:val="none"/>
          <w:lang w:val="en-US" w:eastAsia="zh-CN"/>
        </w:rPr>
        <w:t>乙方负责将货物送达指定地点，运费及在途风险由乙方承担。货物全部到达现场后经甲方和监理确认数量并验收合格后支付至合同总价款的80%；在工程竣工并顺利通过项目所在地供电部门验收后一个月内支付至合同总金额的97%，剩余3%在质保期结束后一个月内付清，不计利息。税费由成交供应商承担，即需提供13%税率的增值税专用发票。（不足部分将从货款中扣除）</w:t>
      </w:r>
    </w:p>
    <w:p w14:paraId="2F42648F">
      <w:pPr>
        <w:keepNext w:val="0"/>
        <w:keepLines w:val="0"/>
        <w:pageBreakBefore w:val="0"/>
        <w:widowControl w:val="0"/>
        <w:kinsoku/>
        <w:wordWrap/>
        <w:overflowPunct/>
        <w:topLinePunct w:val="0"/>
        <w:autoSpaceDE/>
        <w:autoSpaceDN/>
        <w:bidi w:val="0"/>
        <w:adjustRightInd/>
        <w:snapToGrid/>
        <w:spacing w:line="520" w:lineRule="exact"/>
        <w:ind w:firstLine="492" w:firstLineChars="196"/>
        <w:textAlignment w:val="auto"/>
        <w:outlineLvl w:val="1"/>
        <w:rPr>
          <w:rFonts w:hint="eastAsia"/>
          <w:b/>
          <w:bCs w:val="0"/>
          <w:color w:val="auto"/>
          <w:spacing w:val="0"/>
          <w:sz w:val="25"/>
          <w:szCs w:val="25"/>
          <w:highlight w:val="none"/>
        </w:rPr>
      </w:pPr>
      <w:r>
        <w:rPr>
          <w:rFonts w:hint="eastAsia"/>
          <w:b/>
          <w:bCs w:val="0"/>
          <w:color w:val="auto"/>
          <w:spacing w:val="0"/>
          <w:sz w:val="25"/>
          <w:szCs w:val="25"/>
          <w:highlight w:val="none"/>
          <w:lang w:val="en-US" w:eastAsia="zh-CN"/>
        </w:rPr>
        <w:t>（八）</w:t>
      </w:r>
      <w:r>
        <w:rPr>
          <w:rFonts w:hint="eastAsia"/>
          <w:b/>
          <w:bCs w:val="0"/>
          <w:color w:val="auto"/>
          <w:spacing w:val="0"/>
          <w:sz w:val="25"/>
          <w:szCs w:val="25"/>
          <w:highlight w:val="none"/>
        </w:rPr>
        <w:t>凡对本次</w:t>
      </w:r>
      <w:r>
        <w:rPr>
          <w:rFonts w:hint="eastAsia"/>
          <w:b/>
          <w:bCs w:val="0"/>
          <w:color w:val="auto"/>
          <w:spacing w:val="0"/>
          <w:sz w:val="25"/>
          <w:szCs w:val="25"/>
          <w:highlight w:val="none"/>
          <w:lang w:val="en-US" w:eastAsia="zh-CN"/>
        </w:rPr>
        <w:t>采购</w:t>
      </w:r>
      <w:r>
        <w:rPr>
          <w:rFonts w:hint="eastAsia"/>
          <w:b/>
          <w:bCs w:val="0"/>
          <w:color w:val="auto"/>
          <w:spacing w:val="0"/>
          <w:sz w:val="25"/>
          <w:szCs w:val="25"/>
          <w:highlight w:val="none"/>
        </w:rPr>
        <w:t>提出询问，请按以下方式联系。</w:t>
      </w:r>
      <w:bookmarkEnd w:id="82"/>
      <w:bookmarkEnd w:id="83"/>
      <w:bookmarkEnd w:id="84"/>
      <w:bookmarkEnd w:id="85"/>
      <w:bookmarkEnd w:id="86"/>
      <w:bookmarkEnd w:id="87"/>
      <w:bookmarkEnd w:id="88"/>
    </w:p>
    <w:p w14:paraId="431E187A">
      <w:pPr>
        <w:keepNext w:val="0"/>
        <w:keepLines w:val="0"/>
        <w:pageBreakBefore w:val="0"/>
        <w:widowControl w:val="0"/>
        <w:kinsoku/>
        <w:wordWrap/>
        <w:overflowPunct/>
        <w:topLinePunct w:val="0"/>
        <w:autoSpaceDE/>
        <w:autoSpaceDN/>
        <w:bidi w:val="0"/>
        <w:adjustRightInd/>
        <w:snapToGrid/>
        <w:spacing w:line="520" w:lineRule="exact"/>
        <w:ind w:left="1091" w:leftChars="371" w:hanging="312" w:hangingChars="125"/>
        <w:jc w:val="left"/>
        <w:textAlignment w:val="auto"/>
        <w:outlineLvl w:val="1"/>
        <w:rPr>
          <w:rFonts w:hint="eastAsia" w:ascii="宋体" w:hAnsi="宋体" w:cs="仿宋"/>
          <w:color w:val="auto"/>
          <w:spacing w:val="0"/>
          <w:sz w:val="25"/>
          <w:szCs w:val="25"/>
          <w:highlight w:val="none"/>
        </w:rPr>
      </w:pPr>
      <w:bookmarkStart w:id="89" w:name="_Toc28359096"/>
      <w:bookmarkStart w:id="90" w:name="_Toc35393806"/>
      <w:bookmarkStart w:id="91" w:name="_Toc24176"/>
      <w:bookmarkStart w:id="92" w:name="_Toc29416"/>
      <w:bookmarkStart w:id="93" w:name="_Toc19133"/>
      <w:bookmarkStart w:id="94" w:name="_Toc19727"/>
      <w:bookmarkStart w:id="95" w:name="_Toc35393637"/>
      <w:bookmarkStart w:id="96" w:name="_Toc28359019"/>
      <w:bookmarkStart w:id="97" w:name="_Toc25830"/>
      <w:r>
        <w:rPr>
          <w:rFonts w:hint="eastAsia" w:ascii="宋体" w:hAnsi="宋体" w:cs="仿宋"/>
          <w:color w:val="auto"/>
          <w:spacing w:val="0"/>
          <w:sz w:val="25"/>
          <w:szCs w:val="25"/>
          <w:highlight w:val="none"/>
        </w:rPr>
        <w:t>1.</w:t>
      </w:r>
      <w:r>
        <w:rPr>
          <w:rFonts w:hint="eastAsia" w:ascii="宋体" w:hAnsi="宋体" w:cs="仿宋"/>
          <w:color w:val="auto"/>
          <w:spacing w:val="0"/>
          <w:sz w:val="25"/>
          <w:szCs w:val="25"/>
          <w:highlight w:val="none"/>
          <w:lang w:val="en-US" w:eastAsia="zh-CN"/>
        </w:rPr>
        <w:t>招标人</w:t>
      </w:r>
      <w:r>
        <w:rPr>
          <w:rFonts w:hint="eastAsia" w:ascii="宋体" w:hAnsi="宋体" w:cs="仿宋"/>
          <w:color w:val="auto"/>
          <w:spacing w:val="0"/>
          <w:sz w:val="25"/>
          <w:szCs w:val="25"/>
          <w:highlight w:val="none"/>
        </w:rPr>
        <w:t>信息</w:t>
      </w:r>
      <w:bookmarkEnd w:id="89"/>
      <w:bookmarkEnd w:id="90"/>
      <w:bookmarkEnd w:id="91"/>
      <w:bookmarkEnd w:id="92"/>
      <w:bookmarkEnd w:id="93"/>
      <w:bookmarkEnd w:id="94"/>
      <w:bookmarkEnd w:id="95"/>
      <w:bookmarkEnd w:id="96"/>
      <w:bookmarkEnd w:id="97"/>
    </w:p>
    <w:p w14:paraId="6C80887E">
      <w:pPr>
        <w:keepNext w:val="0"/>
        <w:keepLines w:val="0"/>
        <w:pageBreakBefore w:val="0"/>
        <w:widowControl w:val="0"/>
        <w:kinsoku/>
        <w:wordWrap/>
        <w:overflowPunct/>
        <w:topLinePunct w:val="0"/>
        <w:autoSpaceDE/>
        <w:autoSpaceDN/>
        <w:bidi w:val="0"/>
        <w:adjustRightInd/>
        <w:snapToGrid/>
        <w:spacing w:line="520" w:lineRule="exact"/>
        <w:ind w:left="1091" w:leftChars="371" w:hanging="312" w:hangingChars="125"/>
        <w:jc w:val="left"/>
        <w:textAlignment w:val="auto"/>
        <w:rPr>
          <w:rFonts w:hint="default" w:ascii="宋体" w:hAnsi="宋体" w:eastAsia="宋体" w:cs="仿宋"/>
          <w:color w:val="auto"/>
          <w:spacing w:val="0"/>
          <w:sz w:val="25"/>
          <w:szCs w:val="25"/>
          <w:highlight w:val="none"/>
          <w:lang w:val="en-US" w:eastAsia="zh-CN"/>
        </w:rPr>
      </w:pPr>
      <w:r>
        <w:rPr>
          <w:rFonts w:hint="eastAsia" w:ascii="宋体" w:hAnsi="宋体" w:cs="仿宋"/>
          <w:color w:val="auto"/>
          <w:spacing w:val="0"/>
          <w:sz w:val="25"/>
          <w:szCs w:val="25"/>
          <w:highlight w:val="none"/>
        </w:rPr>
        <w:t>名    称：</w:t>
      </w:r>
      <w:r>
        <w:rPr>
          <w:rFonts w:hint="eastAsia" w:ascii="宋体" w:hAnsi="宋体" w:eastAsia="宋体" w:cs="宋体"/>
          <w:color w:val="auto"/>
          <w:spacing w:val="0"/>
          <w:sz w:val="25"/>
          <w:szCs w:val="25"/>
          <w:highlight w:val="none"/>
          <w:lang w:val="en-US" w:eastAsia="zh-CN"/>
        </w:rPr>
        <w:t>会昌县德欣教育科技有限公司</w:t>
      </w:r>
    </w:p>
    <w:p w14:paraId="6FDCB344">
      <w:pPr>
        <w:keepNext w:val="0"/>
        <w:keepLines w:val="0"/>
        <w:pageBreakBefore w:val="0"/>
        <w:widowControl w:val="0"/>
        <w:kinsoku/>
        <w:wordWrap/>
        <w:overflowPunct/>
        <w:topLinePunct w:val="0"/>
        <w:autoSpaceDE/>
        <w:autoSpaceDN/>
        <w:bidi w:val="0"/>
        <w:adjustRightInd/>
        <w:snapToGrid/>
        <w:spacing w:line="520" w:lineRule="exact"/>
        <w:ind w:left="1091" w:leftChars="371" w:hanging="312" w:hangingChars="125"/>
        <w:jc w:val="left"/>
        <w:textAlignment w:val="auto"/>
        <w:rPr>
          <w:rFonts w:hint="eastAsia" w:ascii="宋体" w:hAnsi="宋体" w:cs="仿宋"/>
          <w:color w:val="auto"/>
          <w:spacing w:val="0"/>
          <w:sz w:val="25"/>
          <w:szCs w:val="25"/>
          <w:highlight w:val="none"/>
        </w:rPr>
      </w:pPr>
      <w:r>
        <w:rPr>
          <w:rFonts w:hint="eastAsia" w:ascii="宋体" w:hAnsi="宋体" w:cs="仿宋"/>
          <w:color w:val="auto"/>
          <w:spacing w:val="0"/>
          <w:sz w:val="25"/>
          <w:szCs w:val="25"/>
          <w:highlight w:val="none"/>
        </w:rPr>
        <w:t>地    址：会昌县月亮湾新区商会大厦</w:t>
      </w:r>
      <w:r>
        <w:rPr>
          <w:rFonts w:hint="eastAsia" w:ascii="宋体" w:hAnsi="宋体" w:cs="仿宋"/>
          <w:color w:val="auto"/>
          <w:spacing w:val="0"/>
          <w:sz w:val="25"/>
          <w:szCs w:val="25"/>
          <w:highlight w:val="none"/>
          <w:lang w:val="en-US" w:eastAsia="zh-CN"/>
        </w:rPr>
        <w:t>7</w:t>
      </w:r>
      <w:r>
        <w:rPr>
          <w:rFonts w:hint="eastAsia" w:ascii="宋体" w:hAnsi="宋体" w:cs="仿宋"/>
          <w:color w:val="auto"/>
          <w:spacing w:val="0"/>
          <w:sz w:val="25"/>
          <w:szCs w:val="25"/>
          <w:highlight w:val="none"/>
        </w:rPr>
        <w:t>楼</w:t>
      </w:r>
    </w:p>
    <w:p w14:paraId="56B0BC45">
      <w:pPr>
        <w:keepNext w:val="0"/>
        <w:keepLines w:val="0"/>
        <w:pageBreakBefore w:val="0"/>
        <w:widowControl w:val="0"/>
        <w:kinsoku/>
        <w:wordWrap/>
        <w:overflowPunct/>
        <w:topLinePunct w:val="0"/>
        <w:autoSpaceDE/>
        <w:autoSpaceDN/>
        <w:bidi w:val="0"/>
        <w:adjustRightInd/>
        <w:snapToGrid/>
        <w:spacing w:line="520" w:lineRule="exact"/>
        <w:ind w:firstLine="750" w:firstLineChars="300"/>
        <w:textAlignment w:val="auto"/>
        <w:rPr>
          <w:rFonts w:hint="eastAsia" w:ascii="宋体" w:hAnsi="宋体" w:eastAsia="宋体" w:cs="仿宋"/>
          <w:color w:val="auto"/>
          <w:spacing w:val="0"/>
          <w:sz w:val="25"/>
          <w:szCs w:val="25"/>
          <w:highlight w:val="none"/>
          <w:lang w:val="en-US" w:eastAsia="zh-CN"/>
        </w:rPr>
      </w:pPr>
      <w:r>
        <w:rPr>
          <w:rFonts w:hint="eastAsia" w:ascii="宋体" w:hAnsi="宋体" w:cs="仿宋"/>
          <w:color w:val="auto"/>
          <w:spacing w:val="0"/>
          <w:sz w:val="25"/>
          <w:szCs w:val="25"/>
          <w:highlight w:val="none"/>
        </w:rPr>
        <w:t>联系方式：</w:t>
      </w:r>
      <w:r>
        <w:rPr>
          <w:rFonts w:hint="eastAsia" w:ascii="宋体" w:hAnsi="宋体" w:eastAsia="宋体" w:cs="仿宋"/>
          <w:color w:val="auto"/>
          <w:spacing w:val="0"/>
          <w:sz w:val="25"/>
          <w:szCs w:val="25"/>
          <w:highlight w:val="none"/>
        </w:rPr>
        <w:t>19281279258</w:t>
      </w:r>
      <w:r>
        <w:rPr>
          <w:rFonts w:hint="eastAsia" w:ascii="宋体" w:hAnsi="宋体" w:eastAsia="宋体" w:cs="仿宋"/>
          <w:color w:val="auto"/>
          <w:spacing w:val="0"/>
          <w:sz w:val="25"/>
          <w:szCs w:val="25"/>
          <w:highlight w:val="none"/>
          <w:lang w:val="en-US" w:eastAsia="zh-CN"/>
        </w:rPr>
        <w:t xml:space="preserve"> 邹</w:t>
      </w:r>
    </w:p>
    <w:p w14:paraId="053AF36D">
      <w:pPr>
        <w:keepNext w:val="0"/>
        <w:keepLines w:val="0"/>
        <w:pageBreakBefore w:val="0"/>
        <w:widowControl w:val="0"/>
        <w:kinsoku/>
        <w:wordWrap/>
        <w:overflowPunct/>
        <w:topLinePunct w:val="0"/>
        <w:autoSpaceDE/>
        <w:autoSpaceDN/>
        <w:bidi w:val="0"/>
        <w:adjustRightInd/>
        <w:snapToGrid/>
        <w:spacing w:line="520" w:lineRule="exact"/>
        <w:ind w:firstLine="750" w:firstLineChars="300"/>
        <w:textAlignment w:val="auto"/>
        <w:rPr>
          <w:rFonts w:hint="eastAsia" w:ascii="宋体" w:hAnsi="宋体" w:cs="宋体"/>
          <w:color w:val="auto"/>
          <w:spacing w:val="0"/>
          <w:sz w:val="25"/>
          <w:szCs w:val="25"/>
          <w:highlight w:val="none"/>
        </w:rPr>
      </w:pPr>
      <w:r>
        <w:rPr>
          <w:rFonts w:hint="eastAsia" w:ascii="宋体" w:hAnsi="宋体" w:cs="仿宋"/>
          <w:color w:val="auto"/>
          <w:spacing w:val="0"/>
          <w:sz w:val="25"/>
          <w:szCs w:val="25"/>
          <w:highlight w:val="none"/>
        </w:rPr>
        <w:t>邮   箱:</w:t>
      </w:r>
      <w:r>
        <w:rPr>
          <w:rFonts w:hint="eastAsia" w:ascii="宋体" w:hAnsi="宋体" w:cs="仿宋"/>
          <w:color w:val="auto"/>
          <w:spacing w:val="0"/>
          <w:sz w:val="25"/>
          <w:szCs w:val="25"/>
          <w:highlight w:val="none"/>
          <w:u w:val="none"/>
        </w:rPr>
        <w:t xml:space="preserve"> </w:t>
      </w:r>
      <w:r>
        <w:rPr>
          <w:rFonts w:hint="eastAsia" w:ascii="宋体" w:hAnsi="宋体" w:cs="宋体"/>
          <w:color w:val="auto"/>
          <w:spacing w:val="0"/>
          <w:sz w:val="25"/>
          <w:szCs w:val="25"/>
          <w:highlight w:val="none"/>
        </w:rPr>
        <w:fldChar w:fldCharType="begin"/>
      </w:r>
      <w:r>
        <w:rPr>
          <w:rFonts w:hint="eastAsia" w:ascii="宋体" w:hAnsi="宋体" w:cs="宋体"/>
          <w:color w:val="auto"/>
          <w:spacing w:val="0"/>
          <w:sz w:val="25"/>
          <w:szCs w:val="25"/>
          <w:highlight w:val="none"/>
        </w:rPr>
        <w:instrText xml:space="preserve"> HYPERLINK "mailto:dxjy5677488@163.com" </w:instrText>
      </w:r>
      <w:r>
        <w:rPr>
          <w:rFonts w:hint="eastAsia" w:ascii="宋体" w:hAnsi="宋体" w:cs="宋体"/>
          <w:color w:val="auto"/>
          <w:spacing w:val="0"/>
          <w:sz w:val="25"/>
          <w:szCs w:val="25"/>
          <w:highlight w:val="none"/>
        </w:rPr>
        <w:fldChar w:fldCharType="separate"/>
      </w:r>
      <w:r>
        <w:rPr>
          <w:rStyle w:val="4"/>
          <w:rFonts w:hint="eastAsia" w:ascii="宋体" w:hAnsi="宋体" w:cs="宋体"/>
          <w:color w:val="auto"/>
          <w:spacing w:val="0"/>
          <w:sz w:val="25"/>
          <w:szCs w:val="25"/>
          <w:highlight w:val="none"/>
        </w:rPr>
        <w:t>dxjy5677488@163.com</w:t>
      </w:r>
      <w:r>
        <w:rPr>
          <w:rFonts w:hint="eastAsia" w:ascii="宋体" w:hAnsi="宋体" w:cs="宋体"/>
          <w:color w:val="auto"/>
          <w:spacing w:val="0"/>
          <w:sz w:val="25"/>
          <w:szCs w:val="25"/>
          <w:highlight w:val="none"/>
        </w:rPr>
        <w:fldChar w:fldCharType="end"/>
      </w:r>
    </w:p>
    <w:p w14:paraId="2CE1CD2C">
      <w:pPr>
        <w:keepNext w:val="0"/>
        <w:keepLines w:val="0"/>
        <w:pageBreakBefore w:val="0"/>
        <w:widowControl w:val="0"/>
        <w:kinsoku/>
        <w:wordWrap/>
        <w:overflowPunct/>
        <w:topLinePunct w:val="0"/>
        <w:autoSpaceDE/>
        <w:autoSpaceDN/>
        <w:bidi w:val="0"/>
        <w:adjustRightInd/>
        <w:snapToGrid/>
        <w:spacing w:line="520" w:lineRule="exact"/>
        <w:ind w:firstLine="750" w:firstLineChars="300"/>
        <w:textAlignment w:val="auto"/>
        <w:rPr>
          <w:rFonts w:hint="default" w:ascii="宋体" w:hAnsi="宋体" w:eastAsia="宋体" w:cs="宋体"/>
          <w:color w:val="auto"/>
          <w:spacing w:val="0"/>
          <w:sz w:val="25"/>
          <w:szCs w:val="25"/>
          <w:highlight w:val="none"/>
          <w:lang w:val="en-US" w:eastAsia="zh-CN"/>
        </w:rPr>
      </w:pPr>
      <w:r>
        <w:rPr>
          <w:rFonts w:hint="eastAsia" w:ascii="宋体" w:hAnsi="宋体" w:cs="宋体"/>
          <w:color w:val="auto"/>
          <w:spacing w:val="0"/>
          <w:sz w:val="25"/>
          <w:szCs w:val="25"/>
          <w:highlight w:val="none"/>
          <w:lang w:val="en-US" w:eastAsia="zh-CN"/>
        </w:rPr>
        <w:t>网   站：http://www.hcxcsfztz.cn/</w:t>
      </w:r>
    </w:p>
    <w:p w14:paraId="65F322E4">
      <w:pPr>
        <w:keepNext w:val="0"/>
        <w:keepLines w:val="0"/>
        <w:pageBreakBefore w:val="0"/>
        <w:widowControl w:val="0"/>
        <w:kinsoku/>
        <w:wordWrap/>
        <w:overflowPunct/>
        <w:topLinePunct w:val="0"/>
        <w:autoSpaceDE/>
        <w:autoSpaceDN/>
        <w:bidi w:val="0"/>
        <w:adjustRightInd/>
        <w:snapToGrid/>
        <w:spacing w:line="520" w:lineRule="exact"/>
        <w:ind w:firstLine="750" w:firstLineChars="300"/>
        <w:jc w:val="left"/>
        <w:textAlignment w:val="auto"/>
        <w:rPr>
          <w:rFonts w:hint="eastAsia" w:ascii="宋体" w:hAnsi="宋体" w:cs="宋体"/>
          <w:color w:val="auto"/>
          <w:spacing w:val="0"/>
          <w:sz w:val="25"/>
          <w:szCs w:val="25"/>
          <w:highlight w:val="none"/>
          <w:lang w:val="en-US" w:eastAsia="zh-CN"/>
        </w:rPr>
      </w:pPr>
      <w:r>
        <w:rPr>
          <w:rFonts w:hint="eastAsia" w:ascii="宋体" w:hAnsi="宋体" w:cs="宋体"/>
          <w:color w:val="auto"/>
          <w:spacing w:val="0"/>
          <w:sz w:val="25"/>
          <w:szCs w:val="25"/>
          <w:highlight w:val="none"/>
          <w:lang w:val="en-US" w:eastAsia="zh-CN"/>
        </w:rPr>
        <w:t>2.监督举报电话（县纪委派驻第十纪检监察组）：0797-5623881</w:t>
      </w:r>
    </w:p>
    <w:p w14:paraId="73362CFD">
      <w:pPr>
        <w:jc w:val="left"/>
        <w:rPr>
          <w:rFonts w:hint="default"/>
          <w:b/>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zFkMjdhNjc2Nzc1OGVkZTA3MjIxNjMxNjkzOGEifQ=="/>
  </w:docVars>
  <w:rsids>
    <w:rsidRoot w:val="7DE33C97"/>
    <w:rsid w:val="05075731"/>
    <w:rsid w:val="11A57A2A"/>
    <w:rsid w:val="16252430"/>
    <w:rsid w:val="16302179"/>
    <w:rsid w:val="19D47BEF"/>
    <w:rsid w:val="26527EB6"/>
    <w:rsid w:val="2AF94DA4"/>
    <w:rsid w:val="2DA60515"/>
    <w:rsid w:val="302D729E"/>
    <w:rsid w:val="335079DD"/>
    <w:rsid w:val="3CA376E8"/>
    <w:rsid w:val="3ED25BE0"/>
    <w:rsid w:val="4101282F"/>
    <w:rsid w:val="474358CD"/>
    <w:rsid w:val="478A4EA2"/>
    <w:rsid w:val="4C4F261E"/>
    <w:rsid w:val="59492A03"/>
    <w:rsid w:val="5BFF5A74"/>
    <w:rsid w:val="5F2839F7"/>
    <w:rsid w:val="62253828"/>
    <w:rsid w:val="63914990"/>
    <w:rsid w:val="64D47C92"/>
    <w:rsid w:val="678A66F8"/>
    <w:rsid w:val="6EC34710"/>
    <w:rsid w:val="6FDB4E2B"/>
    <w:rsid w:val="77D221D2"/>
    <w:rsid w:val="7DE3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customStyle="1" w:styleId="5">
    <w:name w:val="标书文本"/>
    <w:qFormat/>
    <w:uiPriority w:val="0"/>
    <w:pPr>
      <w:spacing w:line="360" w:lineRule="auto"/>
      <w:ind w:firstLine="200" w:firstLineChars="200"/>
    </w:pPr>
    <w:rPr>
      <w:rFonts w:ascii="Arial" w:hAnsi="Arial" w:eastAsia="Arial"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1220</Words>
  <Characters>1351</Characters>
  <Lines>0</Lines>
  <Paragraphs>0</Paragraphs>
  <TotalTime>13</TotalTime>
  <ScaleCrop>false</ScaleCrop>
  <LinksUpToDate>false</LinksUpToDate>
  <CharactersWithSpaces>1364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2024-10-24T01:21:00Z</dcterms:created>
  <dc:creator>不染</dc:creator>
  <cp:lastModifiedBy>不染</cp:lastModifiedBy>
  <cp:lastPrinted>2025-07-23T01:06:36Z</cp:lastPrinted>
  <dcterms:modified xsi:type="dcterms:W3CDTF">2025-07-23T01:19:22Z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095FD6B1FF674288884A90C11EF386E4_11</vt:lpwstr>
  </property>
  <property fmtid="{D5CDD505-2E9C-101B-9397-08002B2CF9AE}" pid="4" name="KSOTemplateDocerSaveRecord">
    <vt:lpwstr>eyJoZGlkIjoiODA5NzFkMjdhNjc2Nzc1OGVkZTA3MjIxNjMxNjkzOGEiLCJ1c2VySWQiOiI0MzUyNDQyOTcifQ==</vt:lpwstr>
  </property>
</Properties>
</file>