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val="en-US" w:eastAsia="zh-CN"/>
        </w:rPr>
      </w:pPr>
      <w:r>
        <w:rPr>
          <w:rFonts w:hint="eastAsia" w:ascii="仿宋" w:hAnsi="仿宋" w:eastAsia="仿宋" w:cs="仿宋"/>
          <w:b/>
          <w:sz w:val="36"/>
          <w:szCs w:val="36"/>
          <w:u w:val="none"/>
          <w:lang w:eastAsia="zh-CN"/>
        </w:rPr>
        <w:t>会昌县文化艺术中心项目景观桥洪评报告询价发包挂网招标</w:t>
      </w:r>
      <w:r>
        <w:rPr>
          <w:rFonts w:hint="eastAsia" w:ascii="仿宋" w:hAnsi="仿宋" w:eastAsia="仿宋" w:cs="仿宋"/>
          <w:b/>
          <w:sz w:val="36"/>
          <w:szCs w:val="36"/>
          <w:u w:val="none"/>
        </w:rPr>
        <w:t>公告</w:t>
      </w:r>
    </w:p>
    <w:p>
      <w:pPr>
        <w:jc w:val="left"/>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一、投标人须知</w:t>
      </w:r>
    </w:p>
    <w:tbl>
      <w:tblPr>
        <w:tblStyle w:val="7"/>
        <w:tblpPr w:leftFromText="180" w:rightFromText="180" w:vertAnchor="text" w:horzAnchor="page" w:tblpX="1462" w:tblpY="60"/>
        <w:tblOverlap w:val="never"/>
        <w:tblW w:w="9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629"/>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46" w:type="dxa"/>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项号</w:t>
            </w:r>
          </w:p>
        </w:tc>
        <w:tc>
          <w:tcPr>
            <w:tcW w:w="1629" w:type="dxa"/>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内 容</w:t>
            </w:r>
          </w:p>
        </w:tc>
        <w:tc>
          <w:tcPr>
            <w:tcW w:w="7020" w:type="dxa"/>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6" w:type="dxa"/>
            <w:vAlign w:val="center"/>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1</w:t>
            </w:r>
          </w:p>
        </w:tc>
        <w:tc>
          <w:tcPr>
            <w:tcW w:w="1629"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招标人</w:t>
            </w:r>
          </w:p>
        </w:tc>
        <w:tc>
          <w:tcPr>
            <w:tcW w:w="7020" w:type="dxa"/>
            <w:vAlign w:val="center"/>
          </w:tcPr>
          <w:p>
            <w:pPr>
              <w:jc w:val="center"/>
              <w:rPr>
                <w:rFonts w:hint="eastAsia" w:ascii="仿宋" w:hAnsi="仿宋" w:eastAsia="仿宋" w:cs="仿宋"/>
                <w:b w:val="0"/>
                <w:bCs/>
                <w:sz w:val="30"/>
                <w:szCs w:val="30"/>
                <w:u w:val="none"/>
                <w:lang w:val="en-US" w:eastAsia="zh-CN"/>
              </w:rPr>
            </w:pPr>
            <w:r>
              <w:rPr>
                <w:rFonts w:hint="eastAsia" w:ascii="仿宋" w:hAnsi="仿宋" w:eastAsia="仿宋" w:cs="仿宋"/>
                <w:b w:val="0"/>
                <w:bCs/>
                <w:sz w:val="30"/>
                <w:szCs w:val="30"/>
                <w:u w:val="none"/>
                <w:lang w:eastAsia="zh-CN"/>
              </w:rPr>
              <w:t>会昌县恒达投资有限责任公司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946" w:type="dxa"/>
            <w:vAlign w:val="center"/>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2</w:t>
            </w:r>
          </w:p>
        </w:tc>
        <w:tc>
          <w:tcPr>
            <w:tcW w:w="1629"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项目名称</w:t>
            </w:r>
          </w:p>
        </w:tc>
        <w:tc>
          <w:tcPr>
            <w:tcW w:w="7020" w:type="dxa"/>
            <w:vAlign w:val="center"/>
          </w:tcPr>
          <w:p>
            <w:pPr>
              <w:spacing w:line="700" w:lineRule="exact"/>
              <w:jc w:val="center"/>
              <w:rPr>
                <w:rFonts w:hint="default" w:ascii="仿宋" w:hAnsi="仿宋" w:eastAsia="仿宋_GB2312" w:cs="仿宋"/>
                <w:b w:val="0"/>
                <w:bCs w:val="0"/>
                <w:sz w:val="30"/>
                <w:szCs w:val="30"/>
                <w:vertAlign w:val="baseline"/>
                <w:lang w:val="en-US" w:eastAsia="zh-CN"/>
              </w:rPr>
            </w:pPr>
            <w:r>
              <w:rPr>
                <w:rFonts w:hint="eastAsia" w:ascii="仿宋" w:hAnsi="仿宋" w:eastAsia="仿宋" w:cs="仿宋"/>
                <w:b w:val="0"/>
                <w:bCs/>
                <w:sz w:val="30"/>
                <w:szCs w:val="30"/>
                <w:u w:val="none"/>
                <w:lang w:eastAsia="zh-CN"/>
              </w:rPr>
              <w:t>会昌县文化艺术中心项目景观桥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46" w:type="dxa"/>
            <w:vAlign w:val="center"/>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3</w:t>
            </w:r>
          </w:p>
        </w:tc>
        <w:tc>
          <w:tcPr>
            <w:tcW w:w="1629"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项目地点</w:t>
            </w:r>
          </w:p>
        </w:tc>
        <w:tc>
          <w:tcPr>
            <w:tcW w:w="7020" w:type="dxa"/>
            <w:vAlign w:val="center"/>
          </w:tcPr>
          <w:p>
            <w:pPr>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会昌县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946" w:type="dxa"/>
            <w:vAlign w:val="center"/>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4</w:t>
            </w:r>
          </w:p>
        </w:tc>
        <w:tc>
          <w:tcPr>
            <w:tcW w:w="1629"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招标范围</w:t>
            </w:r>
          </w:p>
        </w:tc>
        <w:tc>
          <w:tcPr>
            <w:tcW w:w="7020"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sz w:val="30"/>
                <w:szCs w:val="30"/>
                <w:u w:val="none"/>
                <w:lang w:eastAsia="zh-CN"/>
              </w:rPr>
              <w:t>会昌县文化艺术中心项目景观桥洪评报告编制及审批</w:t>
            </w:r>
            <w:r>
              <w:rPr>
                <w:rFonts w:hint="eastAsia" w:ascii="仿宋" w:hAnsi="仿宋" w:eastAsia="仿宋" w:cs="仿宋"/>
                <w:b w:val="0"/>
                <w:bCs w:val="0"/>
                <w:sz w:val="30"/>
                <w:szCs w:val="30"/>
                <w:vertAlign w:val="baseline"/>
                <w:lang w:val="en-US" w:eastAsia="zh-CN"/>
              </w:rPr>
              <w:t>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46" w:type="dxa"/>
            <w:vAlign w:val="center"/>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5</w:t>
            </w:r>
          </w:p>
        </w:tc>
        <w:tc>
          <w:tcPr>
            <w:tcW w:w="1629"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资金来源</w:t>
            </w:r>
          </w:p>
        </w:tc>
        <w:tc>
          <w:tcPr>
            <w:tcW w:w="7020"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sz w:val="30"/>
                <w:szCs w:val="30"/>
                <w:u w:val="none"/>
                <w:lang w:eastAsia="zh-CN"/>
              </w:rPr>
              <w:t>融资资金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946" w:type="dxa"/>
            <w:vAlign w:val="center"/>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6</w:t>
            </w:r>
          </w:p>
        </w:tc>
        <w:tc>
          <w:tcPr>
            <w:tcW w:w="1629"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工艺要求</w:t>
            </w:r>
          </w:p>
        </w:tc>
        <w:tc>
          <w:tcPr>
            <w:tcW w:w="7020" w:type="dxa"/>
            <w:vAlign w:val="center"/>
          </w:tcPr>
          <w:p>
            <w:pPr>
              <w:numPr>
                <w:ilvl w:val="0"/>
                <w:numId w:val="0"/>
              </w:numPr>
              <w:jc w:val="both"/>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sz w:val="30"/>
                <w:szCs w:val="30"/>
                <w:u w:val="none"/>
                <w:lang w:eastAsia="zh-CN"/>
              </w:rPr>
              <w:t>《中华人民共和国防洪法》第十一条编制防洪规划，应当遵循确保重点、兼顾一般，以及防汛和抗旱相结合、工程措施和非工程措施相结合的原则，充分考虑洪涝规律和上下游、左右岸的关系以及城区经济对防洪的要求，并与国土规划和土地利用总体规划相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46" w:type="dxa"/>
            <w:vAlign w:val="center"/>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7</w:t>
            </w:r>
          </w:p>
        </w:tc>
        <w:tc>
          <w:tcPr>
            <w:tcW w:w="1629"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工期要求</w:t>
            </w:r>
          </w:p>
        </w:tc>
        <w:tc>
          <w:tcPr>
            <w:tcW w:w="7020" w:type="dxa"/>
            <w:vAlign w:val="center"/>
          </w:tcPr>
          <w:p>
            <w:pPr>
              <w:jc w:val="center"/>
              <w:rPr>
                <w:rFonts w:hint="default" w:ascii="仿宋" w:hAnsi="仿宋" w:eastAsia="仿宋" w:cs="仿宋"/>
                <w:b/>
                <w:bCs/>
                <w:sz w:val="30"/>
                <w:szCs w:val="30"/>
                <w:vertAlign w:val="baseline"/>
                <w:lang w:val="en-US" w:eastAsia="zh-CN"/>
              </w:rPr>
            </w:pPr>
            <w:r>
              <w:rPr>
                <w:rFonts w:hint="eastAsia" w:ascii="仿宋" w:hAnsi="仿宋" w:eastAsia="仿宋" w:cs="仿宋"/>
                <w:b w:val="0"/>
                <w:bCs w:val="0"/>
                <w:sz w:val="30"/>
                <w:szCs w:val="30"/>
                <w:vertAlign w:val="baseline"/>
                <w:lang w:val="en-US" w:eastAsia="zh-CN"/>
              </w:rPr>
              <w:t>总工期20天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46" w:type="dxa"/>
            <w:vAlign w:val="center"/>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8</w:t>
            </w:r>
          </w:p>
        </w:tc>
        <w:tc>
          <w:tcPr>
            <w:tcW w:w="1629"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报名时间</w:t>
            </w:r>
          </w:p>
        </w:tc>
        <w:tc>
          <w:tcPr>
            <w:tcW w:w="7020" w:type="dxa"/>
            <w:vAlign w:val="center"/>
          </w:tcPr>
          <w:p>
            <w:pPr>
              <w:jc w:val="center"/>
              <w:rPr>
                <w:rFonts w:hint="eastAsia" w:ascii="仿宋" w:hAnsi="仿宋" w:eastAsia="仿宋" w:cs="仿宋"/>
                <w:b w:val="0"/>
                <w:bCs w:val="0"/>
                <w:color w:val="FF0000"/>
                <w:sz w:val="30"/>
                <w:szCs w:val="30"/>
                <w:vertAlign w:val="baseline"/>
                <w:lang w:val="en-US" w:eastAsia="zh-CN"/>
              </w:rPr>
            </w:pPr>
            <w:r>
              <w:rPr>
                <w:rFonts w:hint="eastAsia" w:ascii="仿宋" w:hAnsi="仿宋" w:eastAsia="仿宋" w:cs="仿宋"/>
                <w:b w:val="0"/>
                <w:bCs w:val="0"/>
                <w:color w:val="000000"/>
                <w:sz w:val="30"/>
                <w:szCs w:val="30"/>
                <w:vertAlign w:val="baseline"/>
                <w:lang w:val="en-US" w:eastAsia="zh-CN"/>
              </w:rPr>
              <w:t>2024年1月18日至2024年1月23日下午3点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946" w:type="dxa"/>
            <w:vAlign w:val="center"/>
          </w:tcPr>
          <w:p>
            <w:pPr>
              <w:spacing w:line="480" w:lineRule="auto"/>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9</w:t>
            </w:r>
          </w:p>
        </w:tc>
        <w:tc>
          <w:tcPr>
            <w:tcW w:w="1629"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付款方式</w:t>
            </w:r>
          </w:p>
        </w:tc>
        <w:tc>
          <w:tcPr>
            <w:tcW w:w="7020" w:type="dxa"/>
            <w:vAlign w:val="center"/>
          </w:tcPr>
          <w:p>
            <w:pPr>
              <w:jc w:val="both"/>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完成</w:t>
            </w:r>
            <w:r>
              <w:rPr>
                <w:rFonts w:hint="eastAsia" w:ascii="仿宋" w:hAnsi="仿宋" w:eastAsia="仿宋" w:cs="仿宋"/>
                <w:b w:val="0"/>
                <w:bCs/>
                <w:color w:val="000000"/>
                <w:sz w:val="30"/>
                <w:szCs w:val="30"/>
                <w:lang w:eastAsia="zh-CN"/>
              </w:rPr>
              <w:t>项目洪评报告编制并通过审批</w:t>
            </w:r>
            <w:r>
              <w:rPr>
                <w:rFonts w:hint="eastAsia" w:ascii="仿宋" w:hAnsi="仿宋" w:eastAsia="仿宋" w:cs="仿宋"/>
                <w:b w:val="0"/>
                <w:bCs w:val="0"/>
                <w:sz w:val="30"/>
                <w:szCs w:val="30"/>
                <w:vertAlign w:val="baseline"/>
                <w:lang w:val="en-US" w:eastAsia="zh-CN"/>
              </w:rPr>
              <w:t>后一年内支付。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46" w:type="dxa"/>
            <w:vAlign w:val="center"/>
          </w:tcPr>
          <w:p>
            <w:pPr>
              <w:jc w:val="center"/>
              <w:rPr>
                <w:rFonts w:hint="eastAsia"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10</w:t>
            </w:r>
          </w:p>
        </w:tc>
        <w:tc>
          <w:tcPr>
            <w:tcW w:w="1629"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计价方式</w:t>
            </w:r>
          </w:p>
        </w:tc>
        <w:tc>
          <w:tcPr>
            <w:tcW w:w="7020"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color w:val="000000"/>
                <w:sz w:val="30"/>
                <w:szCs w:val="30"/>
                <w:vertAlign w:val="baseline"/>
                <w:lang w:val="en-US" w:eastAsia="zh-CN"/>
              </w:rPr>
              <w:t>固定单价包干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46" w:type="dxa"/>
            <w:vAlign w:val="center"/>
          </w:tcPr>
          <w:p>
            <w:pPr>
              <w:jc w:val="center"/>
              <w:rPr>
                <w:rFonts w:hint="default" w:ascii="仿宋" w:hAnsi="仿宋" w:eastAsia="仿宋" w:cs="仿宋"/>
                <w:b/>
                <w:bCs/>
                <w:sz w:val="30"/>
                <w:szCs w:val="30"/>
                <w:vertAlign w:val="baseline"/>
                <w:lang w:val="en-US" w:eastAsia="zh-CN"/>
              </w:rPr>
            </w:pPr>
            <w:r>
              <w:rPr>
                <w:rFonts w:hint="eastAsia" w:ascii="仿宋" w:hAnsi="仿宋" w:eastAsia="仿宋" w:cs="仿宋"/>
                <w:b/>
                <w:bCs/>
                <w:sz w:val="30"/>
                <w:szCs w:val="30"/>
                <w:vertAlign w:val="baseline"/>
                <w:lang w:val="en-US" w:eastAsia="zh-CN"/>
              </w:rPr>
              <w:t>11</w:t>
            </w:r>
          </w:p>
        </w:tc>
        <w:tc>
          <w:tcPr>
            <w:tcW w:w="1629" w:type="dxa"/>
            <w:vAlign w:val="center"/>
          </w:tcPr>
          <w:p>
            <w:pPr>
              <w:jc w:val="center"/>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联系人及投标地点</w:t>
            </w:r>
          </w:p>
        </w:tc>
        <w:tc>
          <w:tcPr>
            <w:tcW w:w="7020" w:type="dxa"/>
            <w:vAlign w:val="center"/>
          </w:tcPr>
          <w:p>
            <w:pPr>
              <w:jc w:val="both"/>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招标联系人：钟鹏  15070707530 投标地点：会昌县商会大厦十楼工程部。</w:t>
            </w:r>
          </w:p>
          <w:p>
            <w:pPr>
              <w:jc w:val="both"/>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需要相关材料及勘察项目现场的请联系招标联系人，并在报名有效期内提交报价材料。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946" w:type="dxa"/>
            <w:vAlign w:val="center"/>
          </w:tcPr>
          <w:p>
            <w:pPr>
              <w:jc w:val="center"/>
              <w:rPr>
                <w:rFonts w:hint="eastAsia" w:ascii="仿宋" w:hAnsi="仿宋" w:eastAsia="仿宋" w:cs="仿宋"/>
                <w:b/>
                <w:bCs/>
                <w:kern w:val="2"/>
                <w:sz w:val="30"/>
                <w:szCs w:val="30"/>
                <w:vertAlign w:val="baseline"/>
                <w:lang w:val="en-US" w:eastAsia="zh-CN" w:bidi="ar-SA"/>
              </w:rPr>
            </w:pPr>
            <w:r>
              <w:rPr>
                <w:rFonts w:hint="eastAsia" w:ascii="仿宋" w:hAnsi="仿宋" w:eastAsia="仿宋" w:cs="仿宋"/>
                <w:b/>
                <w:bCs/>
                <w:sz w:val="30"/>
                <w:szCs w:val="30"/>
                <w:vertAlign w:val="baseline"/>
                <w:lang w:val="en-US" w:eastAsia="zh-CN"/>
              </w:rPr>
              <w:t>12</w:t>
            </w:r>
          </w:p>
        </w:tc>
        <w:tc>
          <w:tcPr>
            <w:tcW w:w="1629" w:type="dxa"/>
            <w:vAlign w:val="center"/>
          </w:tcPr>
          <w:p>
            <w:pPr>
              <w:jc w:val="center"/>
              <w:rPr>
                <w:rFonts w:hint="eastAsia"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sz w:val="30"/>
                <w:szCs w:val="30"/>
                <w:vertAlign w:val="baseline"/>
                <w:lang w:val="en-US" w:eastAsia="zh-CN"/>
              </w:rPr>
              <w:t>开标时间地点及举报电话</w:t>
            </w:r>
          </w:p>
        </w:tc>
        <w:tc>
          <w:tcPr>
            <w:tcW w:w="7020" w:type="dxa"/>
            <w:vAlign w:val="center"/>
          </w:tcPr>
          <w:p>
            <w:pPr>
              <w:jc w:val="both"/>
              <w:rPr>
                <w:rFonts w:hint="eastAsia" w:ascii="仿宋" w:hAnsi="仿宋" w:eastAsia="仿宋" w:cs="仿宋"/>
                <w:b w:val="0"/>
                <w:bCs w:val="0"/>
                <w:color w:val="000000"/>
                <w:sz w:val="30"/>
                <w:szCs w:val="30"/>
                <w:vertAlign w:val="baseline"/>
                <w:lang w:val="en-US" w:eastAsia="zh-CN"/>
              </w:rPr>
            </w:pPr>
            <w:r>
              <w:rPr>
                <w:rFonts w:hint="eastAsia" w:ascii="仿宋" w:hAnsi="仿宋" w:eastAsia="仿宋" w:cs="仿宋"/>
                <w:b w:val="0"/>
                <w:bCs w:val="0"/>
                <w:color w:val="000000"/>
                <w:sz w:val="30"/>
                <w:szCs w:val="30"/>
                <w:vertAlign w:val="baseline"/>
                <w:lang w:val="en-US" w:eastAsia="zh-CN"/>
              </w:rPr>
              <w:t>开标时间为：2024年1月23日下午3:00，集团询价小组进行现场拆封各投标人报价</w:t>
            </w:r>
            <w:bookmarkStart w:id="1" w:name="_GoBack"/>
            <w:bookmarkEnd w:id="1"/>
            <w:r>
              <w:rPr>
                <w:rFonts w:hint="eastAsia" w:ascii="仿宋" w:hAnsi="仿宋" w:eastAsia="仿宋" w:cs="仿宋"/>
                <w:b w:val="0"/>
                <w:bCs w:val="0"/>
                <w:color w:val="000000"/>
                <w:sz w:val="30"/>
                <w:szCs w:val="30"/>
                <w:vertAlign w:val="baseline"/>
                <w:lang w:val="en-US" w:eastAsia="zh-CN"/>
              </w:rPr>
              <w:t>文件，审核各投标人资质，按总价最优惠原则确定服务机构。</w:t>
            </w:r>
          </w:p>
          <w:p>
            <w:pPr>
              <w:jc w:val="both"/>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地点：会昌县商会大厦十楼会议室</w:t>
            </w:r>
          </w:p>
          <w:p>
            <w:pPr>
              <w:jc w:val="center"/>
              <w:rPr>
                <w:rFonts w:hint="eastAsia" w:ascii="仿宋" w:hAnsi="仿宋" w:eastAsia="仿宋" w:cs="仿宋"/>
                <w:b w:val="0"/>
                <w:bCs w:val="0"/>
                <w:kern w:val="2"/>
                <w:sz w:val="30"/>
                <w:szCs w:val="30"/>
                <w:vertAlign w:val="baseline"/>
                <w:lang w:val="en-US" w:eastAsia="zh-CN" w:bidi="ar-SA"/>
              </w:rPr>
            </w:pPr>
            <w:r>
              <w:rPr>
                <w:rFonts w:hint="eastAsia" w:ascii="仿宋" w:hAnsi="仿宋" w:eastAsia="仿宋" w:cs="仿宋"/>
                <w:b w:val="0"/>
                <w:bCs w:val="0"/>
                <w:sz w:val="30"/>
                <w:szCs w:val="30"/>
                <w:vertAlign w:val="baseline"/>
                <w:lang w:val="en-US" w:eastAsia="zh-CN"/>
              </w:rPr>
              <w:t>监督举报电话（县纪委派驻第十纪检监察组）：0797-5623881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二、报价要求及中标原则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1、投标要求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1.1、投标价格为固定单价，投标单位报价后我公司即视为报价方在报价前已充分进行了现场踏勘、测量、风险评估及工期提前等所有风险。任何要求</w:t>
      </w:r>
      <w:bookmarkStart w:id="0" w:name="_Hlk529951313"/>
      <w:r>
        <w:rPr>
          <w:rFonts w:hint="eastAsia" w:ascii="仿宋_GB2312" w:hAnsi="仿宋_GB2312" w:eastAsia="仿宋_GB2312" w:cs="仿宋_GB2312"/>
          <w:b w:val="0"/>
          <w:bCs w:val="0"/>
          <w:sz w:val="32"/>
          <w:szCs w:val="32"/>
          <w:lang w:val="en-US" w:eastAsia="zh-CN"/>
        </w:rPr>
        <w:t>增减、变更</w:t>
      </w:r>
      <w:bookmarkEnd w:id="0"/>
      <w:r>
        <w:rPr>
          <w:rFonts w:hint="eastAsia" w:ascii="仿宋_GB2312" w:hAnsi="仿宋_GB2312" w:eastAsia="仿宋_GB2312" w:cs="仿宋_GB2312"/>
          <w:b w:val="0"/>
          <w:bCs w:val="0"/>
          <w:sz w:val="32"/>
          <w:szCs w:val="32"/>
          <w:lang w:val="en-US" w:eastAsia="zh-CN"/>
        </w:rPr>
        <w:t>单价的，将不予认可。除非出现工程新增项目且未确定单价时，双方可协商调整。增加的工程量按双方协商的费用进行结算，增减、变更必须双方另行书面签订协议并加盖公章，否则不予认可。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1.2、报价文件由报价表（参照附件格式）、法人身份证复印件、公司营业执照复印件、资质证书复印件，复印件均需加盖公章，所有材料必须进行封装并加盖公章，否则无效。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1.3、提供虚假资料的取消其投标及中标资格，开标时不足3家投标单位按流标处理。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1.4、本项目的特定资格要求：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1）需要具备</w:t>
      </w:r>
      <w:r>
        <w:rPr>
          <w:rFonts w:hint="eastAsia" w:ascii="仿宋" w:hAnsi="仿宋" w:eastAsia="仿宋" w:cs="仿宋"/>
          <w:b w:val="0"/>
          <w:bCs/>
          <w:color w:val="000000"/>
          <w:sz w:val="32"/>
          <w:szCs w:val="32"/>
          <w:lang w:eastAsia="zh-CN"/>
        </w:rPr>
        <w:t>编制洪评报告等</w:t>
      </w:r>
      <w:r>
        <w:rPr>
          <w:rFonts w:hint="eastAsia" w:ascii="仿宋_GB2312" w:hAnsi="仿宋_GB2312" w:eastAsia="仿宋_GB2312" w:cs="仿宋_GB2312"/>
          <w:b w:val="0"/>
          <w:bCs w:val="0"/>
          <w:sz w:val="32"/>
          <w:szCs w:val="32"/>
          <w:lang w:val="en-US" w:eastAsia="zh-CN"/>
        </w:rPr>
        <w:t>相关资质的单位。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2）提供公司主要管理及其直系亲属未在会昌县恒茂建设发展集团有限责任公司从业的承诺书（参照附件格式）。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1.6、中标公示3天后3个工作日内签订合同，签订合同后3天日内进场开展工作。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b w:val="0"/>
          <w:bCs w:val="0"/>
          <w:sz w:val="32"/>
          <w:szCs w:val="32"/>
          <w:lang w:val="en-US" w:eastAsia="zh-CN"/>
        </w:rPr>
      </w:pPr>
    </w:p>
    <w:p>
      <w:pPr>
        <w:numPr>
          <w:ilvl w:val="0"/>
          <w:numId w:val="0"/>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3、中标原则：</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w:t>
      </w:r>
      <w:r>
        <w:rPr>
          <w:rFonts w:hint="eastAsia" w:ascii="仿宋_GB2312" w:hAnsi="仿宋_GB2312" w:eastAsia="仿宋_GB2312" w:cs="仿宋_GB2312"/>
          <w:b w:val="0"/>
          <w:bCs w:val="0"/>
          <w:sz w:val="32"/>
          <w:szCs w:val="32"/>
          <w:lang w:val="en-US" w:eastAsia="zh-CN"/>
        </w:rPr>
        <w:t>则上符合报价文件且在同等条件下总价最优惠的为中标单位，</w:t>
      </w:r>
      <w:r>
        <w:rPr>
          <w:rFonts w:hint="eastAsia" w:ascii="仿宋_GB2312" w:hAnsi="仿宋_GB2312" w:eastAsia="仿宋_GB2312" w:cs="仿宋_GB2312"/>
          <w:sz w:val="32"/>
          <w:szCs w:val="32"/>
          <w:lang w:val="en-US" w:eastAsia="zh-CN"/>
        </w:rPr>
        <w:t>由集团询价小组推选，最终报集团“三重一大”会议确定。</w:t>
      </w:r>
    </w:p>
    <w:p>
      <w:pPr>
        <w:numPr>
          <w:ilvl w:val="0"/>
          <w:numId w:val="0"/>
        </w:numPr>
        <w:ind w:firstLine="640" w:firstLineChars="200"/>
        <w:jc w:val="left"/>
        <w:rPr>
          <w:rFonts w:hint="default" w:ascii="仿宋_GB2312" w:hAnsi="仿宋_GB2312" w:eastAsia="仿宋_GB2312" w:cs="仿宋_GB2312"/>
          <w:sz w:val="32"/>
          <w:szCs w:val="32"/>
          <w:lang w:val="en-US" w:eastAsia="zh-CN"/>
        </w:rPr>
      </w:pPr>
    </w:p>
    <w:p>
      <w:pPr>
        <w:numPr>
          <w:ilvl w:val="0"/>
          <w:numId w:val="1"/>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承包内容：</w:t>
      </w:r>
    </w:p>
    <w:p>
      <w:pPr>
        <w:numPr>
          <w:ilvl w:val="0"/>
          <w:numId w:val="0"/>
        </w:numPr>
        <w:ind w:firstLine="560" w:firstLineChars="20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开展项目景观桥洪评报告编制，并按相关法律法规完成洪评报告审批。</w:t>
      </w:r>
    </w:p>
    <w:p>
      <w:pPr>
        <w:numPr>
          <w:ilvl w:val="0"/>
          <w:numId w:val="0"/>
        </w:numPr>
        <w:ind w:firstLine="560" w:firstLineChars="200"/>
        <w:jc w:val="left"/>
        <w:rPr>
          <w:rFonts w:hint="default" w:ascii="仿宋" w:hAnsi="仿宋" w:eastAsia="仿宋" w:cs="仿宋"/>
          <w:sz w:val="28"/>
          <w:szCs w:val="28"/>
          <w:vertAlign w:val="baseline"/>
          <w:lang w:val="en-US" w:eastAsia="zh-CN"/>
        </w:rPr>
      </w:pPr>
    </w:p>
    <w:p>
      <w:pPr>
        <w:numPr>
          <w:ilvl w:val="0"/>
          <w:numId w:val="0"/>
        </w:numPr>
        <w:jc w:val="lef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三、投标文件递交</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1、投标人应将投标文件密封加盖章。</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2、封装袋上可写明投标人名称和联系方式。</w:t>
      </w:r>
    </w:p>
    <w:p>
      <w:pPr>
        <w:numPr>
          <w:ilvl w:val="0"/>
          <w:numId w:val="0"/>
        </w:num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3、投标人应在规定时间前将投标文件递交到指定地点。</w:t>
      </w:r>
    </w:p>
    <w:p>
      <w:pPr>
        <w:numPr>
          <w:ilvl w:val="0"/>
          <w:numId w:val="0"/>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四、项目概况</w:t>
      </w:r>
    </w:p>
    <w:p>
      <w:pPr>
        <w:numPr>
          <w:ilvl w:val="0"/>
          <w:numId w:val="0"/>
        </w:numPr>
        <w:ind w:firstLine="600" w:firstLineChars="200"/>
        <w:jc w:val="left"/>
        <w:rPr>
          <w:rFonts w:hint="default" w:ascii="仿宋_GB2312" w:hAnsi="仿宋_GB2312" w:eastAsia="仿宋_GB2312" w:cs="仿宋_GB2312"/>
          <w:b w:val="0"/>
          <w:bCs w:val="0"/>
          <w:sz w:val="32"/>
          <w:szCs w:val="32"/>
          <w:lang w:val="en-US" w:eastAsia="zh-CN"/>
        </w:rPr>
      </w:pPr>
      <w:r>
        <w:rPr>
          <w:rFonts w:hint="eastAsia" w:ascii="仿宋" w:hAnsi="仿宋" w:eastAsia="仿宋" w:cs="仿宋"/>
          <w:b w:val="0"/>
          <w:bCs/>
          <w:sz w:val="30"/>
          <w:szCs w:val="30"/>
          <w:u w:val="none"/>
          <w:lang w:eastAsia="zh-CN"/>
        </w:rPr>
        <w:t>会昌县文化艺术中心项目总建筑面积</w:t>
      </w:r>
      <w:r>
        <w:rPr>
          <w:rFonts w:hint="eastAsia" w:ascii="仿宋" w:hAnsi="仿宋" w:eastAsia="仿宋" w:cs="仿宋"/>
          <w:b w:val="0"/>
          <w:bCs/>
          <w:sz w:val="30"/>
          <w:szCs w:val="30"/>
          <w:u w:val="none"/>
          <w:lang w:val="en-US" w:eastAsia="zh-CN"/>
        </w:rPr>
        <w:t>44109.91平方米，景观桥长度约30米</w:t>
      </w:r>
      <w:r>
        <w:rPr>
          <w:rFonts w:hint="eastAsia" w:ascii="仿宋_GB2312" w:hAnsi="仿宋_GB2312" w:eastAsia="仿宋_GB2312" w:cs="仿宋_GB2312"/>
          <w:b w:val="0"/>
          <w:bCs w:val="0"/>
          <w:sz w:val="32"/>
          <w:szCs w:val="32"/>
          <w:lang w:val="en-US" w:eastAsia="zh-CN"/>
        </w:rPr>
        <w:t>。</w:t>
      </w:r>
    </w:p>
    <w:p>
      <w:pPr>
        <w:numPr>
          <w:ilvl w:val="0"/>
          <w:numId w:val="0"/>
        </w:numPr>
        <w:jc w:val="left"/>
        <w:rPr>
          <w:rFonts w:hint="eastAsia" w:ascii="仿宋_GB2312" w:hAnsi="仿宋_GB2312" w:eastAsia="仿宋_GB2312" w:cs="仿宋_GB2312"/>
          <w:b w:val="0"/>
          <w:bCs w:val="0"/>
          <w:sz w:val="32"/>
          <w:szCs w:val="32"/>
          <w:lang w:val="en-US" w:eastAsia="zh-CN"/>
        </w:rPr>
      </w:pPr>
    </w:p>
    <w:p>
      <w:pPr>
        <w:numPr>
          <w:ilvl w:val="0"/>
          <w:numId w:val="2"/>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招标控制价</w:t>
      </w:r>
    </w:p>
    <w:p>
      <w:pPr>
        <w:numPr>
          <w:ilvl w:val="0"/>
          <w:numId w:val="0"/>
        </w:numPr>
        <w:jc w:val="center"/>
        <w:rPr>
          <w:rFonts w:hint="eastAsia"/>
          <w:lang w:val="en-US" w:eastAsia="zh-CN"/>
        </w:rPr>
      </w:pPr>
      <w:r>
        <w:rPr>
          <w:rFonts w:hint="eastAsia" w:ascii="宋体" w:hAnsi="宋体" w:cs="宋体"/>
          <w:b/>
          <w:bCs w:val="0"/>
          <w:color w:val="000000"/>
          <w:kern w:val="0"/>
          <w:sz w:val="36"/>
          <w:szCs w:val="36"/>
          <w:lang w:val="en-US" w:eastAsia="zh-CN"/>
        </w:rPr>
        <w:t>控制价</w:t>
      </w:r>
    </w:p>
    <w:tbl>
      <w:tblPr>
        <w:tblStyle w:val="7"/>
        <w:tblpPr w:leftFromText="180" w:rightFromText="180" w:vertAnchor="text" w:horzAnchor="page" w:tblpX="1975" w:tblpY="2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2"/>
        <w:gridCol w:w="1483"/>
        <w:gridCol w:w="1617"/>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2" w:type="dxa"/>
            <w:vAlign w:val="center"/>
          </w:tcPr>
          <w:p>
            <w:pPr>
              <w:pStyle w:val="4"/>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项目名称</w:t>
            </w:r>
          </w:p>
        </w:tc>
        <w:tc>
          <w:tcPr>
            <w:tcW w:w="1483" w:type="dxa"/>
            <w:vAlign w:val="center"/>
          </w:tcPr>
          <w:p>
            <w:pPr>
              <w:pStyle w:val="4"/>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控制价</w:t>
            </w:r>
          </w:p>
        </w:tc>
        <w:tc>
          <w:tcPr>
            <w:tcW w:w="1617" w:type="dxa"/>
            <w:vAlign w:val="center"/>
          </w:tcPr>
          <w:p>
            <w:pPr>
              <w:pStyle w:val="4"/>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单位</w:t>
            </w:r>
          </w:p>
        </w:tc>
        <w:tc>
          <w:tcPr>
            <w:tcW w:w="2084" w:type="dxa"/>
            <w:vAlign w:val="center"/>
          </w:tcPr>
          <w:p>
            <w:pPr>
              <w:pStyle w:val="4"/>
              <w:ind w:left="0" w:leftChars="0" w:firstLine="0" w:firstLineChars="0"/>
              <w:jc w:val="center"/>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812" w:type="dxa"/>
            <w:vAlign w:val="center"/>
          </w:tcPr>
          <w:p>
            <w:pPr>
              <w:pStyle w:val="4"/>
              <w:ind w:left="0" w:leftChars="0" w:firstLine="0" w:firstLineChars="0"/>
              <w:jc w:val="center"/>
              <w:rPr>
                <w:rFonts w:hint="eastAsia" w:ascii="仿宋" w:hAnsi="仿宋" w:eastAsia="仿宋" w:cs="仿宋"/>
                <w:sz w:val="22"/>
                <w:szCs w:val="22"/>
                <w:vertAlign w:val="baseline"/>
                <w:lang w:eastAsia="zh-CN"/>
              </w:rPr>
            </w:pPr>
            <w:r>
              <w:rPr>
                <w:rFonts w:hint="eastAsia" w:ascii="仿宋_GB2312" w:hAnsi="仿宋_GB2312" w:eastAsia="仿宋_GB2312" w:cs="仿宋_GB2312"/>
                <w:b w:val="0"/>
                <w:bCs w:val="0"/>
                <w:sz w:val="32"/>
                <w:szCs w:val="32"/>
                <w:lang w:val="en-US" w:eastAsia="zh-CN"/>
              </w:rPr>
              <w:t>会昌县文化艺术中心项目景观桥</w:t>
            </w:r>
          </w:p>
        </w:tc>
        <w:tc>
          <w:tcPr>
            <w:tcW w:w="1483" w:type="dxa"/>
            <w:vAlign w:val="center"/>
          </w:tcPr>
          <w:p>
            <w:pPr>
              <w:pStyle w:val="4"/>
              <w:ind w:left="0" w:leftChars="0" w:firstLine="0" w:firstLineChars="0"/>
              <w:jc w:val="center"/>
              <w:rPr>
                <w:rFonts w:hint="default" w:ascii="仿宋" w:hAnsi="仿宋" w:eastAsia="仿宋" w:cs="仿宋"/>
                <w:color w:val="FF0000"/>
                <w:sz w:val="22"/>
                <w:szCs w:val="22"/>
                <w:vertAlign w:val="baseline"/>
                <w:lang w:val="en-US" w:eastAsia="zh-CN"/>
              </w:rPr>
            </w:pPr>
            <w:r>
              <w:rPr>
                <w:rFonts w:hint="eastAsia" w:ascii="仿宋" w:hAnsi="仿宋" w:eastAsia="仿宋" w:cs="仿宋"/>
                <w:color w:val="auto"/>
                <w:sz w:val="22"/>
                <w:szCs w:val="22"/>
                <w:vertAlign w:val="baseline"/>
                <w:lang w:val="en-US" w:eastAsia="zh-CN"/>
              </w:rPr>
              <w:t>2.5</w:t>
            </w:r>
          </w:p>
        </w:tc>
        <w:tc>
          <w:tcPr>
            <w:tcW w:w="1617" w:type="dxa"/>
            <w:vAlign w:val="center"/>
          </w:tcPr>
          <w:p>
            <w:pPr>
              <w:pStyle w:val="4"/>
              <w:ind w:left="0" w:leftChars="0" w:firstLine="0" w:firstLineChars="0"/>
              <w:jc w:val="center"/>
              <w:rPr>
                <w:rFonts w:hint="eastAsia" w:ascii="仿宋" w:hAnsi="仿宋" w:eastAsia="仿宋" w:cs="仿宋"/>
                <w:sz w:val="22"/>
                <w:szCs w:val="22"/>
                <w:vertAlign w:val="baseline"/>
                <w:lang w:eastAsia="zh-CN"/>
              </w:rPr>
            </w:pPr>
            <w:r>
              <w:rPr>
                <w:rFonts w:hint="eastAsia" w:ascii="仿宋" w:hAnsi="仿宋" w:eastAsia="仿宋" w:cs="仿宋"/>
                <w:sz w:val="22"/>
                <w:szCs w:val="22"/>
                <w:vertAlign w:val="baseline"/>
                <w:lang w:eastAsia="zh-CN"/>
              </w:rPr>
              <w:t>万元</w:t>
            </w:r>
          </w:p>
        </w:tc>
        <w:tc>
          <w:tcPr>
            <w:tcW w:w="2084" w:type="dxa"/>
            <w:vAlign w:val="center"/>
          </w:tcPr>
          <w:p>
            <w:pPr>
              <w:pStyle w:val="4"/>
              <w:ind w:left="0" w:leftChars="0" w:firstLine="0" w:firstLineChars="0"/>
              <w:jc w:val="center"/>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812" w:type="dxa"/>
            <w:vAlign w:val="center"/>
          </w:tcPr>
          <w:p>
            <w:pPr>
              <w:pStyle w:val="4"/>
              <w:tabs>
                <w:tab w:val="center" w:pos="1358"/>
                <w:tab w:val="right" w:pos="2596"/>
              </w:tabs>
              <w:ind w:left="0" w:leftChars="0" w:firstLine="0" w:firstLineChars="0"/>
              <w:jc w:val="center"/>
              <w:rPr>
                <w:rFonts w:hint="eastAsia" w:ascii="仿宋" w:hAnsi="仿宋" w:eastAsia="仿宋" w:cs="仿宋"/>
                <w:sz w:val="22"/>
                <w:szCs w:val="22"/>
                <w:vertAlign w:val="baseline"/>
                <w:lang w:val="en-US" w:eastAsia="zh-CN"/>
              </w:rPr>
            </w:pPr>
          </w:p>
        </w:tc>
        <w:tc>
          <w:tcPr>
            <w:tcW w:w="1483" w:type="dxa"/>
            <w:vAlign w:val="center"/>
          </w:tcPr>
          <w:p>
            <w:pPr>
              <w:pStyle w:val="4"/>
              <w:ind w:left="0" w:leftChars="0" w:firstLine="0" w:firstLineChars="0"/>
              <w:jc w:val="both"/>
              <w:rPr>
                <w:rFonts w:hint="default" w:ascii="仿宋" w:hAnsi="仿宋" w:eastAsia="仿宋" w:cs="仿宋"/>
                <w:color w:val="000000"/>
                <w:sz w:val="22"/>
                <w:szCs w:val="22"/>
                <w:vertAlign w:val="baseline"/>
                <w:lang w:val="en-US" w:eastAsia="zh-CN"/>
              </w:rPr>
            </w:pPr>
          </w:p>
        </w:tc>
        <w:tc>
          <w:tcPr>
            <w:tcW w:w="1617" w:type="dxa"/>
            <w:vAlign w:val="center"/>
          </w:tcPr>
          <w:p>
            <w:pPr>
              <w:pStyle w:val="4"/>
              <w:ind w:left="0" w:leftChars="0" w:firstLine="0" w:firstLineChars="0"/>
              <w:jc w:val="both"/>
              <w:rPr>
                <w:rFonts w:hint="eastAsia" w:ascii="仿宋" w:hAnsi="仿宋" w:eastAsia="仿宋" w:cs="仿宋"/>
                <w:sz w:val="22"/>
                <w:szCs w:val="22"/>
                <w:vertAlign w:val="baseline"/>
                <w:lang w:val="en-US" w:eastAsia="zh-CN"/>
              </w:rPr>
            </w:pPr>
          </w:p>
        </w:tc>
        <w:tc>
          <w:tcPr>
            <w:tcW w:w="2084" w:type="dxa"/>
            <w:vAlign w:val="center"/>
          </w:tcPr>
          <w:p>
            <w:pPr>
              <w:pStyle w:val="4"/>
              <w:ind w:left="0" w:leftChars="0" w:firstLine="0" w:firstLineChars="0"/>
              <w:jc w:val="both"/>
              <w:rPr>
                <w:rFonts w:hint="eastAsia" w:ascii="仿宋" w:hAnsi="仿宋" w:eastAsia="仿宋" w:cs="仿宋"/>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812" w:type="dxa"/>
            <w:vAlign w:val="center"/>
          </w:tcPr>
          <w:p>
            <w:pPr>
              <w:pStyle w:val="4"/>
              <w:tabs>
                <w:tab w:val="center" w:pos="1358"/>
                <w:tab w:val="right" w:pos="2596"/>
              </w:tabs>
              <w:ind w:left="0" w:leftChars="0" w:firstLine="0" w:firstLineChars="0"/>
              <w:jc w:val="center"/>
              <w:rPr>
                <w:rFonts w:hint="eastAsia" w:ascii="仿宋" w:hAnsi="仿宋" w:eastAsia="仿宋" w:cs="仿宋"/>
                <w:sz w:val="22"/>
                <w:szCs w:val="22"/>
                <w:vertAlign w:val="baseline"/>
                <w:lang w:val="en-US" w:eastAsia="zh-CN"/>
              </w:rPr>
            </w:pPr>
          </w:p>
        </w:tc>
        <w:tc>
          <w:tcPr>
            <w:tcW w:w="1483" w:type="dxa"/>
            <w:vAlign w:val="center"/>
          </w:tcPr>
          <w:p>
            <w:pPr>
              <w:pStyle w:val="4"/>
              <w:ind w:left="0" w:leftChars="0" w:firstLine="0" w:firstLineChars="0"/>
              <w:jc w:val="both"/>
              <w:rPr>
                <w:rFonts w:hint="default" w:ascii="仿宋" w:hAnsi="仿宋" w:eastAsia="仿宋" w:cs="仿宋"/>
                <w:color w:val="000000"/>
                <w:sz w:val="22"/>
                <w:szCs w:val="22"/>
                <w:vertAlign w:val="baseline"/>
                <w:lang w:val="en-US" w:eastAsia="zh-CN"/>
              </w:rPr>
            </w:pPr>
          </w:p>
        </w:tc>
        <w:tc>
          <w:tcPr>
            <w:tcW w:w="1617" w:type="dxa"/>
            <w:vAlign w:val="center"/>
          </w:tcPr>
          <w:p>
            <w:pPr>
              <w:pStyle w:val="4"/>
              <w:ind w:left="0" w:leftChars="0" w:firstLine="0" w:firstLineChars="0"/>
              <w:jc w:val="both"/>
              <w:rPr>
                <w:rFonts w:hint="eastAsia" w:ascii="仿宋" w:hAnsi="仿宋" w:eastAsia="仿宋" w:cs="仿宋"/>
                <w:color w:val="000000"/>
                <w:sz w:val="22"/>
                <w:szCs w:val="22"/>
                <w:vertAlign w:val="baseline"/>
                <w:lang w:val="en-US" w:eastAsia="zh-CN"/>
              </w:rPr>
            </w:pPr>
          </w:p>
        </w:tc>
        <w:tc>
          <w:tcPr>
            <w:tcW w:w="2084" w:type="dxa"/>
            <w:vAlign w:val="center"/>
          </w:tcPr>
          <w:p>
            <w:pPr>
              <w:pStyle w:val="4"/>
              <w:ind w:left="0" w:leftChars="0" w:firstLine="0" w:firstLineChars="0"/>
              <w:jc w:val="both"/>
              <w:rPr>
                <w:rFonts w:hint="eastAsia" w:ascii="仿宋" w:hAnsi="仿宋" w:eastAsia="仿宋" w:cs="仿宋"/>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812" w:type="dxa"/>
            <w:vAlign w:val="center"/>
          </w:tcPr>
          <w:p>
            <w:pPr>
              <w:pStyle w:val="4"/>
              <w:tabs>
                <w:tab w:val="center" w:pos="1358"/>
                <w:tab w:val="right" w:pos="2596"/>
              </w:tabs>
              <w:ind w:left="0" w:leftChars="0" w:firstLine="0" w:firstLineChars="0"/>
              <w:jc w:val="center"/>
              <w:rPr>
                <w:rFonts w:hint="eastAsia" w:ascii="仿宋" w:hAnsi="仿宋" w:eastAsia="仿宋" w:cs="仿宋"/>
                <w:sz w:val="22"/>
                <w:szCs w:val="22"/>
                <w:vertAlign w:val="baseline"/>
                <w:lang w:val="en-US" w:eastAsia="zh-CN"/>
              </w:rPr>
            </w:pPr>
          </w:p>
        </w:tc>
        <w:tc>
          <w:tcPr>
            <w:tcW w:w="1483" w:type="dxa"/>
            <w:vAlign w:val="center"/>
          </w:tcPr>
          <w:p>
            <w:pPr>
              <w:pStyle w:val="4"/>
              <w:ind w:left="0" w:leftChars="0" w:firstLine="0" w:firstLineChars="0"/>
              <w:jc w:val="both"/>
              <w:rPr>
                <w:rFonts w:hint="default" w:ascii="仿宋" w:hAnsi="仿宋" w:eastAsia="仿宋" w:cs="仿宋"/>
                <w:color w:val="000000"/>
                <w:sz w:val="22"/>
                <w:szCs w:val="22"/>
                <w:vertAlign w:val="baseline"/>
                <w:lang w:val="en-US" w:eastAsia="zh-CN"/>
              </w:rPr>
            </w:pPr>
          </w:p>
        </w:tc>
        <w:tc>
          <w:tcPr>
            <w:tcW w:w="1617" w:type="dxa"/>
            <w:vAlign w:val="center"/>
          </w:tcPr>
          <w:p>
            <w:pPr>
              <w:pStyle w:val="4"/>
              <w:ind w:left="0" w:leftChars="0" w:firstLine="0" w:firstLineChars="0"/>
              <w:jc w:val="both"/>
              <w:rPr>
                <w:rFonts w:hint="eastAsia" w:ascii="仿宋" w:hAnsi="仿宋" w:eastAsia="仿宋" w:cs="仿宋"/>
                <w:color w:val="000000"/>
                <w:sz w:val="22"/>
                <w:szCs w:val="22"/>
                <w:vertAlign w:val="baseline"/>
                <w:lang w:val="en-US" w:eastAsia="zh-CN"/>
              </w:rPr>
            </w:pPr>
          </w:p>
        </w:tc>
        <w:tc>
          <w:tcPr>
            <w:tcW w:w="2084" w:type="dxa"/>
            <w:vAlign w:val="center"/>
          </w:tcPr>
          <w:p>
            <w:pPr>
              <w:pStyle w:val="4"/>
              <w:ind w:left="0" w:leftChars="0" w:firstLine="0" w:firstLineChars="0"/>
              <w:jc w:val="both"/>
              <w:rPr>
                <w:rFonts w:hint="eastAsia" w:ascii="仿宋" w:hAnsi="仿宋" w:eastAsia="仿宋" w:cs="仿宋"/>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812" w:type="dxa"/>
            <w:vAlign w:val="center"/>
          </w:tcPr>
          <w:p>
            <w:pPr>
              <w:pStyle w:val="4"/>
              <w:tabs>
                <w:tab w:val="center" w:pos="1358"/>
                <w:tab w:val="right" w:pos="2596"/>
              </w:tabs>
              <w:ind w:left="0" w:leftChars="0" w:firstLine="0" w:firstLineChars="0"/>
              <w:jc w:val="center"/>
              <w:rPr>
                <w:rFonts w:hint="eastAsia" w:ascii="仿宋" w:hAnsi="仿宋" w:eastAsia="仿宋" w:cs="仿宋"/>
                <w:sz w:val="22"/>
                <w:szCs w:val="22"/>
                <w:vertAlign w:val="baseline"/>
                <w:lang w:val="en-US" w:eastAsia="zh-CN"/>
              </w:rPr>
            </w:pPr>
          </w:p>
        </w:tc>
        <w:tc>
          <w:tcPr>
            <w:tcW w:w="1483" w:type="dxa"/>
            <w:vAlign w:val="center"/>
          </w:tcPr>
          <w:p>
            <w:pPr>
              <w:pStyle w:val="4"/>
              <w:ind w:left="0" w:leftChars="0" w:firstLine="0" w:firstLineChars="0"/>
              <w:jc w:val="both"/>
              <w:rPr>
                <w:rFonts w:hint="default" w:ascii="仿宋" w:hAnsi="仿宋" w:eastAsia="仿宋" w:cs="仿宋"/>
                <w:color w:val="000000"/>
                <w:sz w:val="22"/>
                <w:szCs w:val="22"/>
                <w:vertAlign w:val="baseline"/>
                <w:lang w:val="en-US" w:eastAsia="zh-CN"/>
              </w:rPr>
            </w:pPr>
          </w:p>
        </w:tc>
        <w:tc>
          <w:tcPr>
            <w:tcW w:w="1617" w:type="dxa"/>
            <w:vAlign w:val="center"/>
          </w:tcPr>
          <w:p>
            <w:pPr>
              <w:pStyle w:val="4"/>
              <w:ind w:left="0" w:leftChars="0" w:firstLine="0" w:firstLineChars="0"/>
              <w:jc w:val="both"/>
              <w:rPr>
                <w:rFonts w:hint="eastAsia" w:ascii="仿宋" w:hAnsi="仿宋" w:eastAsia="仿宋" w:cs="仿宋"/>
                <w:color w:val="000000"/>
                <w:sz w:val="22"/>
                <w:szCs w:val="22"/>
                <w:vertAlign w:val="baseline"/>
                <w:lang w:val="en-US" w:eastAsia="zh-CN"/>
              </w:rPr>
            </w:pPr>
          </w:p>
        </w:tc>
        <w:tc>
          <w:tcPr>
            <w:tcW w:w="2084" w:type="dxa"/>
            <w:vAlign w:val="center"/>
          </w:tcPr>
          <w:p>
            <w:pPr>
              <w:pStyle w:val="4"/>
              <w:ind w:left="0" w:leftChars="0" w:firstLine="0" w:firstLineChars="0"/>
              <w:jc w:val="both"/>
              <w:rPr>
                <w:rFonts w:hint="eastAsia" w:ascii="仿宋" w:hAnsi="仿宋" w:eastAsia="仿宋" w:cs="仿宋"/>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812" w:type="dxa"/>
            <w:vAlign w:val="center"/>
          </w:tcPr>
          <w:p>
            <w:pPr>
              <w:pStyle w:val="4"/>
              <w:tabs>
                <w:tab w:val="center" w:pos="1358"/>
                <w:tab w:val="right" w:pos="2596"/>
              </w:tabs>
              <w:ind w:left="0" w:leftChars="0" w:firstLine="0" w:firstLineChars="0"/>
              <w:jc w:val="center"/>
              <w:rPr>
                <w:rFonts w:hint="eastAsia" w:ascii="仿宋" w:hAnsi="仿宋" w:eastAsia="仿宋" w:cs="仿宋"/>
                <w:sz w:val="22"/>
                <w:szCs w:val="22"/>
                <w:vertAlign w:val="baseline"/>
                <w:lang w:val="en-US" w:eastAsia="zh-CN"/>
              </w:rPr>
            </w:pPr>
          </w:p>
        </w:tc>
        <w:tc>
          <w:tcPr>
            <w:tcW w:w="1483" w:type="dxa"/>
            <w:vAlign w:val="center"/>
          </w:tcPr>
          <w:p>
            <w:pPr>
              <w:pStyle w:val="4"/>
              <w:ind w:left="0" w:leftChars="0" w:firstLine="0" w:firstLineChars="0"/>
              <w:jc w:val="center"/>
              <w:rPr>
                <w:rFonts w:hint="default" w:ascii="仿宋" w:hAnsi="仿宋" w:eastAsia="仿宋" w:cs="仿宋"/>
                <w:color w:val="000000"/>
                <w:sz w:val="22"/>
                <w:szCs w:val="22"/>
                <w:vertAlign w:val="baseline"/>
                <w:lang w:val="en-US" w:eastAsia="zh-CN"/>
              </w:rPr>
            </w:pPr>
          </w:p>
        </w:tc>
        <w:tc>
          <w:tcPr>
            <w:tcW w:w="1617" w:type="dxa"/>
            <w:vAlign w:val="center"/>
          </w:tcPr>
          <w:p>
            <w:pPr>
              <w:pStyle w:val="4"/>
              <w:ind w:left="0" w:leftChars="0" w:firstLine="0" w:firstLineChars="0"/>
              <w:jc w:val="both"/>
              <w:rPr>
                <w:rFonts w:hint="eastAsia" w:ascii="仿宋" w:hAnsi="仿宋" w:eastAsia="仿宋" w:cs="仿宋"/>
                <w:color w:val="000000"/>
                <w:sz w:val="22"/>
                <w:szCs w:val="22"/>
                <w:vertAlign w:val="baseline"/>
                <w:lang w:val="en-US" w:eastAsia="zh-CN"/>
              </w:rPr>
            </w:pPr>
          </w:p>
        </w:tc>
        <w:tc>
          <w:tcPr>
            <w:tcW w:w="2084" w:type="dxa"/>
            <w:vAlign w:val="center"/>
          </w:tcPr>
          <w:p>
            <w:pPr>
              <w:pStyle w:val="4"/>
              <w:ind w:left="0" w:leftChars="0" w:firstLine="0" w:firstLineChars="0"/>
              <w:jc w:val="both"/>
              <w:rPr>
                <w:rFonts w:hint="eastAsia" w:ascii="仿宋" w:hAnsi="仿宋" w:eastAsia="仿宋" w:cs="仿宋"/>
                <w:b w:val="0"/>
                <w:bCs w:val="0"/>
                <w:sz w:val="22"/>
                <w:szCs w:val="22"/>
                <w:vertAlign w:val="baseline"/>
                <w:lang w:val="en-US" w:eastAsia="zh-CN"/>
              </w:rPr>
            </w:pPr>
          </w:p>
        </w:tc>
      </w:tr>
    </w:tbl>
    <w:p>
      <w:pPr>
        <w:widowControl/>
        <w:spacing w:line="500" w:lineRule="exact"/>
        <w:jc w:val="both"/>
        <w:rPr>
          <w:rFonts w:hint="eastAsia" w:ascii="宋体" w:hAnsi="宋体" w:cs="宋体"/>
          <w:b w:val="0"/>
          <w:bCs/>
          <w:color w:val="000000"/>
          <w:kern w:val="0"/>
          <w:sz w:val="32"/>
          <w:szCs w:val="32"/>
          <w:lang w:val="en-US" w:eastAsia="zh-CN"/>
        </w:rPr>
      </w:pPr>
    </w:p>
    <w:p>
      <w:pPr>
        <w:widowControl/>
        <w:spacing w:line="500" w:lineRule="exact"/>
        <w:jc w:val="both"/>
        <w:rPr>
          <w:rFonts w:hint="eastAsia" w:ascii="宋体" w:hAnsi="宋体" w:cs="宋体"/>
          <w:b w:val="0"/>
          <w:bCs/>
          <w:color w:val="000000"/>
          <w:kern w:val="0"/>
          <w:sz w:val="32"/>
          <w:szCs w:val="32"/>
          <w:lang w:val="en-US" w:eastAsia="zh-CN"/>
        </w:rPr>
      </w:pPr>
      <w:r>
        <w:rPr>
          <w:rFonts w:hint="eastAsia" w:ascii="宋体" w:hAnsi="宋体" w:cs="宋体"/>
          <w:b w:val="0"/>
          <w:bCs/>
          <w:color w:val="000000"/>
          <w:kern w:val="0"/>
          <w:sz w:val="32"/>
          <w:szCs w:val="32"/>
          <w:lang w:val="en-US" w:eastAsia="zh-CN"/>
        </w:rPr>
        <w:t>注意事项：投标报价超出控制价的视为无效投标。</w:t>
      </w:r>
    </w:p>
    <w:p>
      <w:pPr>
        <w:ind w:firstLine="643" w:firstLineChars="200"/>
        <w:rPr>
          <w:rFonts w:hint="default" w:ascii="宋体" w:hAnsi="宋体" w:cs="宋体"/>
          <w:b w:val="0"/>
          <w:bCs/>
          <w:color w:val="000000"/>
          <w:kern w:val="0"/>
          <w:sz w:val="32"/>
          <w:szCs w:val="32"/>
          <w:lang w:val="en-US" w:eastAsia="zh-CN"/>
        </w:rPr>
      </w:pPr>
      <w:r>
        <w:rPr>
          <w:rFonts w:hint="eastAsia" w:ascii="仿宋_GB2312" w:hAnsi="仿宋_GB2312" w:eastAsia="仿宋_GB2312" w:cs="仿宋_GB2312"/>
          <w:b/>
          <w:bCs/>
          <w:sz w:val="32"/>
          <w:szCs w:val="32"/>
          <w:lang w:val="en-US" w:eastAsia="zh-CN"/>
        </w:rPr>
        <w:br w:type="page"/>
      </w:r>
    </w:p>
    <w:p>
      <w:pPr>
        <w:widowControl/>
        <w:spacing w:line="500" w:lineRule="exact"/>
        <w:jc w:val="center"/>
        <w:rPr>
          <w:rFonts w:hint="eastAsia" w:ascii="宋体" w:hAnsi="宋体" w:eastAsia="宋体" w:cs="宋体"/>
          <w:b/>
          <w:bCs w:val="0"/>
          <w:color w:val="000000"/>
          <w:kern w:val="0"/>
          <w:sz w:val="36"/>
          <w:szCs w:val="36"/>
          <w:lang w:eastAsia="zh-CN"/>
        </w:rPr>
      </w:pPr>
      <w:r>
        <w:rPr>
          <w:rFonts w:hint="eastAsia" w:ascii="宋体" w:hAnsi="宋体" w:cs="宋体"/>
          <w:b/>
          <w:bCs w:val="0"/>
          <w:color w:val="000000"/>
          <w:kern w:val="0"/>
          <w:sz w:val="36"/>
          <w:szCs w:val="36"/>
          <w:lang w:eastAsia="zh-CN"/>
        </w:rPr>
        <w:t>报价表</w:t>
      </w:r>
    </w:p>
    <w:tbl>
      <w:tblPr>
        <w:tblStyle w:val="7"/>
        <w:tblpPr w:leftFromText="180" w:rightFromText="180" w:vertAnchor="text" w:horzAnchor="page" w:tblpX="1975" w:tblpY="2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2"/>
        <w:gridCol w:w="1400"/>
        <w:gridCol w:w="1566"/>
        <w:gridCol w:w="1584"/>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2" w:type="dxa"/>
            <w:vAlign w:val="center"/>
          </w:tcPr>
          <w:p>
            <w:pPr>
              <w:pStyle w:val="4"/>
              <w:ind w:left="0" w:leftChars="0" w:firstLine="0" w:firstLine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项目名称</w:t>
            </w:r>
          </w:p>
        </w:tc>
        <w:tc>
          <w:tcPr>
            <w:tcW w:w="1400" w:type="dxa"/>
            <w:vAlign w:val="center"/>
          </w:tcPr>
          <w:p>
            <w:pPr>
              <w:pStyle w:val="4"/>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类型</w:t>
            </w:r>
          </w:p>
        </w:tc>
        <w:tc>
          <w:tcPr>
            <w:tcW w:w="1566" w:type="dxa"/>
            <w:vAlign w:val="center"/>
          </w:tcPr>
          <w:p>
            <w:pPr>
              <w:pStyle w:val="4"/>
              <w:ind w:left="0" w:leftChars="0" w:firstLine="0" w:firstLine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投标报价</w:t>
            </w:r>
          </w:p>
        </w:tc>
        <w:tc>
          <w:tcPr>
            <w:tcW w:w="1584" w:type="dxa"/>
            <w:vAlign w:val="center"/>
          </w:tcPr>
          <w:p>
            <w:pPr>
              <w:pStyle w:val="4"/>
              <w:ind w:left="0" w:leftChars="0" w:firstLine="0" w:firstLine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单位</w:t>
            </w:r>
          </w:p>
        </w:tc>
        <w:tc>
          <w:tcPr>
            <w:tcW w:w="1757" w:type="dxa"/>
            <w:vAlign w:val="center"/>
          </w:tcPr>
          <w:p>
            <w:pPr>
              <w:pStyle w:val="4"/>
              <w:ind w:left="0" w:leftChars="0" w:firstLine="0" w:firstLine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2212" w:type="dxa"/>
            <w:vAlign w:val="center"/>
          </w:tcPr>
          <w:p>
            <w:pPr>
              <w:pStyle w:val="4"/>
              <w:ind w:left="0" w:leftChars="0" w:firstLine="0" w:firstLineChars="0"/>
              <w:jc w:val="center"/>
              <w:rPr>
                <w:rFonts w:hint="eastAsia" w:ascii="仿宋" w:hAnsi="仿宋" w:eastAsia="仿宋" w:cs="仿宋"/>
                <w:sz w:val="28"/>
                <w:szCs w:val="28"/>
                <w:vertAlign w:val="baseline"/>
                <w:lang w:val="en-US" w:eastAsia="zh-CN"/>
              </w:rPr>
            </w:pPr>
            <w:r>
              <w:rPr>
                <w:rFonts w:hint="eastAsia" w:ascii="仿宋_GB2312" w:hAnsi="仿宋_GB2312" w:eastAsia="仿宋_GB2312" w:cs="仿宋_GB2312"/>
                <w:b w:val="0"/>
                <w:bCs w:val="0"/>
                <w:sz w:val="32"/>
                <w:szCs w:val="32"/>
                <w:lang w:val="en-US" w:eastAsia="zh-CN"/>
              </w:rPr>
              <w:t>会昌县文化艺术中心项目景观桥</w:t>
            </w:r>
          </w:p>
        </w:tc>
        <w:tc>
          <w:tcPr>
            <w:tcW w:w="1400" w:type="dxa"/>
            <w:vAlign w:val="center"/>
          </w:tcPr>
          <w:p>
            <w:pPr>
              <w:pStyle w:val="4"/>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洪评报告编制及审批</w:t>
            </w:r>
          </w:p>
        </w:tc>
        <w:tc>
          <w:tcPr>
            <w:tcW w:w="1566" w:type="dxa"/>
            <w:vAlign w:val="center"/>
          </w:tcPr>
          <w:p>
            <w:pPr>
              <w:pStyle w:val="4"/>
              <w:ind w:left="0" w:leftChars="0" w:firstLine="0" w:firstLineChars="0"/>
              <w:jc w:val="center"/>
              <w:rPr>
                <w:rFonts w:hint="eastAsia" w:ascii="仿宋" w:hAnsi="仿宋" w:eastAsia="仿宋" w:cs="仿宋"/>
                <w:sz w:val="28"/>
                <w:szCs w:val="28"/>
                <w:vertAlign w:val="baseline"/>
                <w:lang w:val="en-US" w:eastAsia="zh-CN"/>
              </w:rPr>
            </w:pPr>
          </w:p>
        </w:tc>
        <w:tc>
          <w:tcPr>
            <w:tcW w:w="1584" w:type="dxa"/>
            <w:vAlign w:val="center"/>
          </w:tcPr>
          <w:p>
            <w:pPr>
              <w:pStyle w:val="4"/>
              <w:ind w:left="0" w:leftChars="0" w:firstLine="0" w:firstLineChars="0"/>
              <w:jc w:val="center"/>
              <w:rPr>
                <w:rFonts w:hint="eastAsia" w:ascii="仿宋" w:hAnsi="仿宋" w:eastAsia="仿宋" w:cs="仿宋"/>
                <w:sz w:val="28"/>
                <w:szCs w:val="28"/>
                <w:vertAlign w:val="baseline"/>
                <w:lang w:val="en-US" w:eastAsia="zh-CN"/>
              </w:rPr>
            </w:pPr>
          </w:p>
        </w:tc>
        <w:tc>
          <w:tcPr>
            <w:tcW w:w="1757" w:type="dxa"/>
            <w:vAlign w:val="center"/>
          </w:tcPr>
          <w:p>
            <w:pPr>
              <w:pStyle w:val="4"/>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固定单价</w:t>
            </w:r>
          </w:p>
        </w:tc>
      </w:tr>
    </w:tbl>
    <w:p>
      <w:pPr>
        <w:ind w:firstLine="640" w:firstLineChars="200"/>
        <w:rPr>
          <w:rFonts w:hint="eastAsia" w:ascii="仿宋_GB2312" w:hAnsi="仿宋_GB2312" w:eastAsia="仿宋_GB2312" w:cs="仿宋_GB2312"/>
          <w:b w:val="0"/>
          <w:bCs w:val="0"/>
          <w:sz w:val="32"/>
          <w:szCs w:val="32"/>
          <w:lang w:val="en-US" w:eastAsia="zh-CN"/>
        </w:rPr>
      </w:pP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我公司已在报价前已充分进行了现场踏勘、测量、风险评估、工期提前等所有风险，上述报价包含</w:t>
      </w:r>
      <w:r>
        <w:rPr>
          <w:rFonts w:hint="eastAsia" w:ascii="仿宋" w:hAnsi="仿宋" w:eastAsia="仿宋" w:cs="仿宋"/>
          <w:b w:val="0"/>
          <w:bCs/>
          <w:color w:val="000000"/>
          <w:sz w:val="32"/>
          <w:szCs w:val="32"/>
          <w:lang w:eastAsia="zh-CN"/>
        </w:rPr>
        <w:t>项目洪水影响评价</w:t>
      </w:r>
      <w:r>
        <w:rPr>
          <w:rFonts w:hint="eastAsia" w:ascii="仿宋" w:hAnsi="仿宋" w:eastAsia="仿宋" w:cs="仿宋"/>
          <w:b w:val="0"/>
          <w:bCs/>
          <w:color w:val="000000"/>
          <w:sz w:val="32"/>
          <w:szCs w:val="32"/>
          <w:lang w:val="en-US" w:eastAsia="zh-CN"/>
        </w:rPr>
        <w:t>等相关费用并</w:t>
      </w:r>
      <w:r>
        <w:rPr>
          <w:rFonts w:hint="eastAsia" w:ascii="仿宋_GB2312" w:hAnsi="仿宋_GB2312" w:eastAsia="仿宋_GB2312" w:cs="仿宋_GB2312"/>
          <w:b w:val="0"/>
          <w:bCs w:val="0"/>
          <w:sz w:val="32"/>
          <w:szCs w:val="32"/>
          <w:lang w:val="en-US" w:eastAsia="zh-CN"/>
        </w:rPr>
        <w:t>按项目实际情况和设计图纸要求提交以上报价。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报价公司（盖章/签字）：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160" w:firstLineChars="13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联系电话：</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3200" w:firstLineChars="10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2024年    月    日</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p>
    <w:p>
      <w:pPr>
        <w:spacing w:line="480" w:lineRule="exact"/>
        <w:jc w:val="center"/>
        <w:rPr>
          <w:rFonts w:hint="eastAsia" w:ascii="黑体" w:hAnsi="黑体" w:eastAsia="黑体" w:cs="黑体"/>
          <w:bCs/>
          <w:sz w:val="44"/>
          <w:szCs w:val="44"/>
          <w:lang w:val="en-US" w:eastAsia="zh-CN"/>
        </w:rPr>
      </w:pPr>
      <w:r>
        <w:rPr>
          <w:rFonts w:hint="eastAsia" w:ascii="黑体" w:hAnsi="黑体" w:eastAsia="黑体" w:cs="黑体"/>
          <w:bCs/>
          <w:sz w:val="44"/>
          <w:szCs w:val="44"/>
          <w:lang w:val="en-US" w:eastAsia="zh-CN"/>
        </w:rPr>
        <w:t>承诺书</w:t>
      </w:r>
    </w:p>
    <w:p>
      <w:pPr>
        <w:spacing w:line="480" w:lineRule="exact"/>
        <w:jc w:val="center"/>
        <w:rPr>
          <w:rFonts w:hint="eastAsia" w:ascii="黑体" w:hAnsi="黑体" w:eastAsia="黑体" w:cs="黑体"/>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Cs/>
          <w:sz w:val="28"/>
          <w:szCs w:val="28"/>
          <w:lang w:val="en-US" w:eastAsia="zh-CN"/>
        </w:rPr>
        <w:t xml:space="preserve">   </w:t>
      </w:r>
      <w:r>
        <w:rPr>
          <w:rFonts w:hint="eastAsia" w:ascii="仿宋_GB2312" w:hAnsi="仿宋_GB2312" w:eastAsia="仿宋_GB2312" w:cs="仿宋_GB2312"/>
          <w:b w:val="0"/>
          <w:bCs w:val="0"/>
          <w:sz w:val="32"/>
          <w:szCs w:val="32"/>
          <w:lang w:val="en-US" w:eastAsia="zh-CN"/>
        </w:rPr>
        <w:t xml:space="preserve"> 我单位为独立法人单位，我公司主要人员及其直系亲属均未有在会昌县恒茂建设发展集团有限责任公司（包括下属子公司）从业的记录以及不存在控股、管理关系和亲属等利害关系。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特此承诺。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我公司对本承诺的真实性负责，并承担相应法律责任。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单位：（公章）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right"/>
        <w:textAlignment w:val="auto"/>
        <w:rPr>
          <w:rFonts w:hint="eastAsia" w:ascii="仿宋_GB2312" w:hAnsi="仿宋_GB2312" w:eastAsia="仿宋_GB2312" w:cs="仿宋_GB2312"/>
          <w:b w:val="0"/>
          <w:bCs w:val="0"/>
          <w:sz w:val="32"/>
          <w:szCs w:val="32"/>
          <w:lang w:val="en-US" w:eastAsia="zh-CN"/>
        </w:rPr>
      </w:pPr>
    </w:p>
    <w:p>
      <w:pPr>
        <w:widowControl/>
        <w:spacing w:line="500" w:lineRule="exact"/>
        <w:jc w:val="center"/>
        <w:rPr>
          <w:rFonts w:hint="eastAsia" w:ascii="宋体" w:hAnsi="宋体" w:cs="宋体"/>
          <w:b/>
          <w:bCs w:val="0"/>
          <w:color w:val="000000"/>
          <w:kern w:val="0"/>
          <w:sz w:val="36"/>
          <w:szCs w:val="36"/>
          <w:lang w:eastAsia="zh-CN"/>
        </w:rPr>
      </w:pPr>
    </w:p>
    <w:p>
      <w:pPr>
        <w:widowControl/>
        <w:spacing w:line="500" w:lineRule="exact"/>
        <w:jc w:val="center"/>
        <w:rPr>
          <w:rFonts w:hint="eastAsia" w:ascii="宋体" w:hAnsi="宋体" w:cs="宋体"/>
          <w:b/>
          <w:bCs w:val="0"/>
          <w:color w:val="000000"/>
          <w:kern w:val="0"/>
          <w:sz w:val="36"/>
          <w:szCs w:val="36"/>
          <w:lang w:eastAsia="zh-CN"/>
        </w:rPr>
      </w:pPr>
    </w:p>
    <w:p>
      <w:pPr>
        <w:rPr>
          <w:rFonts w:hint="eastAsia" w:ascii="仿宋_GB2312" w:hAnsi="仿宋_GB2312" w:eastAsia="仿宋_GB2312" w:cs="仿宋_GB2312"/>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0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decimal"/>
      <w:suff w:val="nothing"/>
      <w:lvlText w:val="%1、"/>
      <w:lvlJc w:val="left"/>
    </w:lvl>
  </w:abstractNum>
  <w:abstractNum w:abstractNumId="1">
    <w:nsid w:val="60CE400C"/>
    <w:multiLevelType w:val="singleLevel"/>
    <w:tmpl w:val="60CE400C"/>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NWFiZGYyNDZhOWIyMGEzZGZmN2I1ZThiMGM4NTgifQ=="/>
  </w:docVars>
  <w:rsids>
    <w:rsidRoot w:val="00000000"/>
    <w:rsid w:val="0394658D"/>
    <w:rsid w:val="09D94AF6"/>
    <w:rsid w:val="0B2D1730"/>
    <w:rsid w:val="0C2357FD"/>
    <w:rsid w:val="0F6B4008"/>
    <w:rsid w:val="12DD7EA1"/>
    <w:rsid w:val="140D6614"/>
    <w:rsid w:val="1BFB1712"/>
    <w:rsid w:val="1CBD66FD"/>
    <w:rsid w:val="1DF61EC7"/>
    <w:rsid w:val="1F5D2BD2"/>
    <w:rsid w:val="22D374DC"/>
    <w:rsid w:val="29B10D91"/>
    <w:rsid w:val="2FDA2060"/>
    <w:rsid w:val="2FF46872"/>
    <w:rsid w:val="317B4234"/>
    <w:rsid w:val="349F69BC"/>
    <w:rsid w:val="41E77C61"/>
    <w:rsid w:val="4553644D"/>
    <w:rsid w:val="477517FF"/>
    <w:rsid w:val="4795043A"/>
    <w:rsid w:val="47C03791"/>
    <w:rsid w:val="47F4274D"/>
    <w:rsid w:val="4D46449D"/>
    <w:rsid w:val="4DE16ADC"/>
    <w:rsid w:val="62E8137B"/>
    <w:rsid w:val="6A8C3777"/>
    <w:rsid w:val="6FBD756E"/>
    <w:rsid w:val="733F3C8D"/>
    <w:rsid w:val="78E24330"/>
    <w:rsid w:val="79EE1488"/>
    <w:rsid w:val="7D3923AB"/>
    <w:rsid w:val="7DDE4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autoRedefine/>
    <w:qFormat/>
    <w:uiPriority w:val="0"/>
    <w:pPr>
      <w:adjustRightInd w:val="0"/>
      <w:snapToGrid w:val="0"/>
      <w:spacing w:beforeAutospacing="0" w:afterAutospacing="0" w:line="360" w:lineRule="auto"/>
      <w:ind w:firstLine="643" w:firstLineChars="200"/>
      <w:jc w:val="left"/>
      <w:outlineLvl w:val="1"/>
    </w:pPr>
    <w:rPr>
      <w:rFonts w:hint="eastAsia"/>
      <w:b/>
      <w:bCs/>
      <w:kern w:val="0"/>
    </w:rPr>
  </w:style>
  <w:style w:type="character" w:default="1" w:styleId="8">
    <w:name w:val="Default Paragraph Font"/>
    <w:autoRedefine/>
    <w:qFormat/>
    <w:uiPriority w:val="0"/>
  </w:style>
  <w:style w:type="table" w:default="1" w:styleId="6">
    <w:name w:val="Normal Table"/>
    <w:autoRedefine/>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rFonts w:ascii="Calibri" w:hAnsi="Calibri" w:eastAsia="仿宋"/>
      <w:sz w:val="32"/>
    </w:rPr>
  </w:style>
  <w:style w:type="paragraph" w:styleId="4">
    <w:name w:val="Body Text Indent"/>
    <w:basedOn w:val="1"/>
    <w:next w:val="3"/>
    <w:qFormat/>
    <w:uiPriority w:val="0"/>
    <w:pPr>
      <w:spacing w:after="120"/>
      <w:ind w:left="420" w:leftChars="200"/>
    </w:pPr>
    <w:rPr>
      <w:rFonts w:eastAsia="宋体" w:cs="Times New Roman"/>
      <w:sz w:val="21"/>
    </w:rPr>
  </w:style>
  <w:style w:type="paragraph" w:styleId="5">
    <w:name w:val="Body Text First Indent 2"/>
    <w:basedOn w:val="4"/>
    <w:autoRedefine/>
    <w:qFormat/>
    <w:uiPriority w:val="0"/>
    <w:pPr>
      <w:ind w:firstLine="420" w:firstLineChars="200"/>
    </w:pPr>
    <w:rPr>
      <w:szCs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autoRedefine/>
    <w:qFormat/>
    <w:uiPriority w:val="0"/>
    <w:rPr>
      <w:i/>
    </w:rPr>
  </w:style>
  <w:style w:type="character" w:styleId="10">
    <w:name w:val="Hyperlink"/>
    <w:autoRedefine/>
    <w:qFormat/>
    <w:uiPriority w:val="0"/>
    <w:rPr>
      <w:color w:val="0000FF"/>
      <w:u w:val="single"/>
    </w:rPr>
  </w:style>
  <w:style w:type="character" w:customStyle="1" w:styleId="11">
    <w:name w:val="font41"/>
    <w:basedOn w:val="8"/>
    <w:autoRedefine/>
    <w:qFormat/>
    <w:uiPriority w:val="0"/>
    <w:rPr>
      <w:rFonts w:hint="eastAsia" w:ascii="宋体" w:hAnsi="宋体" w:eastAsia="宋体" w:cs="宋体"/>
      <w:color w:val="000000"/>
      <w:sz w:val="18"/>
      <w:szCs w:val="18"/>
      <w:u w:val="none"/>
    </w:rPr>
  </w:style>
  <w:style w:type="character" w:customStyle="1" w:styleId="12">
    <w:name w:val="font31"/>
    <w:basedOn w:val="8"/>
    <w:autoRedefine/>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1761</Words>
  <Characters>1882</Characters>
  <Paragraphs>155</Paragraphs>
  <TotalTime>4</TotalTime>
  <ScaleCrop>false</ScaleCrop>
  <LinksUpToDate>false</LinksUpToDate>
  <CharactersWithSpaces>1990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Fbewon</cp:lastModifiedBy>
  <cp:lastPrinted>2023-07-13T08:27:00Z</cp:lastPrinted>
  <dcterms:modified xsi:type="dcterms:W3CDTF">2024-01-17T09:21:51Z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D5686C311FAE457A99D700CBCB49C080</vt:lpwstr>
  </property>
</Properties>
</file>